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E9" w:rsidRPr="002C48BC" w:rsidRDefault="00CD54E9" w:rsidP="008E2269">
      <w:pPr>
        <w:pStyle w:val="21"/>
        <w:jc w:val="center"/>
        <w:rPr>
          <w:rFonts w:ascii="Times New Roman" w:hAnsi="Times New Roman"/>
          <w:b/>
          <w:sz w:val="20"/>
          <w:szCs w:val="20"/>
        </w:rPr>
      </w:pPr>
      <w:r w:rsidRPr="002C48BC">
        <w:rPr>
          <w:rFonts w:ascii="Times New Roman" w:hAnsi="Times New Roman"/>
          <w:b/>
          <w:sz w:val="20"/>
          <w:szCs w:val="20"/>
        </w:rPr>
        <w:t>НАЦІОНАЛЬНА АКАДЕМІЯ МЕДИЧНИХ НАУК УКРАЇНИ</w:t>
      </w:r>
    </w:p>
    <w:p w:rsidR="00CD54E9" w:rsidRPr="002C48BC" w:rsidRDefault="00CD54E9" w:rsidP="008E2269">
      <w:pPr>
        <w:pStyle w:val="21"/>
        <w:jc w:val="center"/>
        <w:rPr>
          <w:rFonts w:ascii="Times New Roman" w:hAnsi="Times New Roman"/>
          <w:b/>
          <w:sz w:val="20"/>
          <w:szCs w:val="20"/>
        </w:rPr>
      </w:pPr>
      <w:r w:rsidRPr="002C48BC">
        <w:rPr>
          <w:rFonts w:ascii="Times New Roman" w:hAnsi="Times New Roman"/>
          <w:b/>
          <w:sz w:val="20"/>
          <w:szCs w:val="20"/>
        </w:rPr>
        <w:t xml:space="preserve">ДЕРЖАВНА УСТАНОВА </w:t>
      </w:r>
    </w:p>
    <w:p w:rsidR="00CD54E9" w:rsidRPr="002C48BC" w:rsidRDefault="00CD54E9" w:rsidP="008E2269">
      <w:pPr>
        <w:pStyle w:val="21"/>
        <w:jc w:val="center"/>
        <w:rPr>
          <w:rFonts w:ascii="Times New Roman" w:hAnsi="Times New Roman"/>
          <w:b/>
          <w:sz w:val="20"/>
          <w:szCs w:val="20"/>
        </w:rPr>
      </w:pPr>
      <w:r w:rsidRPr="002C48BC">
        <w:rPr>
          <w:rFonts w:ascii="Times New Roman" w:hAnsi="Times New Roman"/>
          <w:b/>
          <w:sz w:val="20"/>
          <w:szCs w:val="20"/>
        </w:rPr>
        <w:t xml:space="preserve">«ІНСТИТУТ ФАРМАКОЛОГІЇ ТА ТОКСИКОЛОГІЇ </w:t>
      </w:r>
      <w:r w:rsidRPr="008E2269">
        <w:rPr>
          <w:rFonts w:ascii="Times New Roman" w:hAnsi="Times New Roman"/>
          <w:b/>
          <w:sz w:val="20"/>
          <w:szCs w:val="20"/>
          <w:lang w:val="ru-RU"/>
        </w:rPr>
        <w:br/>
      </w:r>
      <w:r w:rsidRPr="002C48BC">
        <w:rPr>
          <w:rFonts w:ascii="Times New Roman" w:hAnsi="Times New Roman"/>
          <w:b/>
          <w:sz w:val="20"/>
          <w:szCs w:val="20"/>
        </w:rPr>
        <w:t>НАМН УКРАЇНИ»</w:t>
      </w: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b/>
          <w:szCs w:val="20"/>
        </w:rPr>
      </w:pPr>
      <w:r w:rsidRPr="002C48BC">
        <w:rPr>
          <w:rFonts w:ascii="Times New Roman" w:hAnsi="Times New Roman"/>
          <w:b/>
          <w:szCs w:val="20"/>
        </w:rPr>
        <w:t>РАКЕТСЬКА ОЛЕНА ОЛЕКСАНДРІВНА</w:t>
      </w:r>
    </w:p>
    <w:p w:rsidR="00CD54E9" w:rsidRPr="002C48BC" w:rsidRDefault="00CD54E9" w:rsidP="008E2269">
      <w:pPr>
        <w:pStyle w:val="21"/>
        <w:jc w:val="center"/>
        <w:rPr>
          <w:rFonts w:ascii="Times New Roman" w:hAnsi="Times New Roman"/>
          <w:b/>
          <w:sz w:val="20"/>
          <w:szCs w:val="20"/>
        </w:rPr>
      </w:pPr>
    </w:p>
    <w:p w:rsidR="00CD54E9" w:rsidRPr="008E2269" w:rsidRDefault="00CD54E9" w:rsidP="008E2269">
      <w:pPr>
        <w:pStyle w:val="21"/>
        <w:jc w:val="center"/>
        <w:rPr>
          <w:rFonts w:ascii="Times New Roman" w:hAnsi="Times New Roman"/>
          <w:b/>
          <w:sz w:val="20"/>
          <w:szCs w:val="20"/>
          <w:lang w:val="ru-RU"/>
        </w:rPr>
      </w:pPr>
    </w:p>
    <w:p w:rsidR="00CD54E9" w:rsidRPr="008E2269" w:rsidRDefault="00CD54E9" w:rsidP="008E2269">
      <w:pPr>
        <w:pStyle w:val="21"/>
        <w:jc w:val="center"/>
        <w:rPr>
          <w:rFonts w:ascii="Times New Roman" w:hAnsi="Times New Roman"/>
          <w:b/>
          <w:sz w:val="20"/>
          <w:szCs w:val="20"/>
          <w:lang w:val="ru-RU"/>
        </w:rPr>
      </w:pPr>
    </w:p>
    <w:p w:rsidR="00CD54E9" w:rsidRPr="008E2269" w:rsidRDefault="00CD54E9" w:rsidP="008E2269">
      <w:pPr>
        <w:pStyle w:val="21"/>
        <w:jc w:val="center"/>
        <w:rPr>
          <w:rFonts w:ascii="Times New Roman" w:hAnsi="Times New Roman"/>
          <w:b/>
          <w:sz w:val="20"/>
          <w:szCs w:val="20"/>
          <w:lang w:val="ru-RU"/>
        </w:rPr>
      </w:pPr>
    </w:p>
    <w:p w:rsidR="00CD54E9" w:rsidRPr="002C48BC" w:rsidRDefault="00CD54E9" w:rsidP="008E2269">
      <w:pPr>
        <w:pStyle w:val="NoSpacing"/>
        <w:tabs>
          <w:tab w:val="left" w:pos="993"/>
        </w:tabs>
        <w:jc w:val="right"/>
        <w:rPr>
          <w:rFonts w:ascii="Times New Roman" w:hAnsi="Times New Roman"/>
          <w:sz w:val="20"/>
          <w:szCs w:val="20"/>
        </w:rPr>
      </w:pPr>
      <w:r w:rsidRPr="002C48BC">
        <w:rPr>
          <w:rFonts w:ascii="Times New Roman" w:hAnsi="Times New Roman"/>
          <w:sz w:val="20"/>
          <w:szCs w:val="20"/>
        </w:rPr>
        <w:t>УДК 615.2-72.4.+615.244+615.244</w:t>
      </w:r>
    </w:p>
    <w:p w:rsidR="00CD54E9" w:rsidRPr="008E2269" w:rsidRDefault="00CD54E9" w:rsidP="008E2269">
      <w:pPr>
        <w:pStyle w:val="21"/>
        <w:jc w:val="center"/>
        <w:rPr>
          <w:rFonts w:ascii="Times New Roman" w:hAnsi="Times New Roman"/>
          <w:sz w:val="20"/>
          <w:szCs w:val="20"/>
          <w:lang w:val="ru-RU"/>
        </w:rPr>
      </w:pPr>
    </w:p>
    <w:p w:rsidR="00CD54E9" w:rsidRPr="008E2269" w:rsidRDefault="00CD54E9" w:rsidP="008E2269">
      <w:pPr>
        <w:pStyle w:val="21"/>
        <w:jc w:val="center"/>
        <w:rPr>
          <w:rFonts w:ascii="Times New Roman" w:hAnsi="Times New Roman"/>
          <w:sz w:val="20"/>
          <w:szCs w:val="20"/>
          <w:lang w:val="ru-RU"/>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b/>
          <w:caps/>
          <w:sz w:val="28"/>
          <w:szCs w:val="28"/>
        </w:rPr>
      </w:pPr>
      <w:r w:rsidRPr="002C48BC">
        <w:rPr>
          <w:rFonts w:ascii="Times New Roman" w:hAnsi="Times New Roman"/>
          <w:b/>
          <w:caps/>
          <w:sz w:val="28"/>
          <w:szCs w:val="28"/>
        </w:rPr>
        <w:t xml:space="preserve">«ЕКСПЕРИМЕНТАЛЬНІ ДОСЛІДЖЕННЯ </w:t>
      </w:r>
    </w:p>
    <w:p w:rsidR="00CD54E9" w:rsidRPr="002C48BC" w:rsidRDefault="00CD54E9" w:rsidP="008E2269">
      <w:pPr>
        <w:pStyle w:val="21"/>
        <w:jc w:val="center"/>
        <w:rPr>
          <w:rFonts w:ascii="Times New Roman" w:hAnsi="Times New Roman"/>
          <w:b/>
          <w:caps/>
          <w:sz w:val="28"/>
          <w:szCs w:val="28"/>
        </w:rPr>
      </w:pPr>
      <w:r w:rsidRPr="002C48BC">
        <w:rPr>
          <w:rFonts w:ascii="Times New Roman" w:hAnsi="Times New Roman"/>
          <w:b/>
          <w:caps/>
          <w:sz w:val="28"/>
          <w:szCs w:val="28"/>
        </w:rPr>
        <w:t xml:space="preserve">кардіоПРОТЕКТОРНИХ ВЛАСТИВОСТЕЙ </w:t>
      </w:r>
    </w:p>
    <w:p w:rsidR="00CD54E9" w:rsidRPr="002C48BC" w:rsidRDefault="00CD54E9" w:rsidP="008E2269">
      <w:pPr>
        <w:pStyle w:val="21"/>
        <w:jc w:val="center"/>
        <w:rPr>
          <w:rFonts w:ascii="Times New Roman" w:hAnsi="Times New Roman"/>
          <w:sz w:val="28"/>
          <w:szCs w:val="28"/>
        </w:rPr>
      </w:pPr>
      <w:r w:rsidRPr="002C48BC">
        <w:rPr>
          <w:rFonts w:ascii="Times New Roman" w:hAnsi="Times New Roman"/>
          <w:b/>
          <w:caps/>
          <w:sz w:val="28"/>
          <w:szCs w:val="28"/>
        </w:rPr>
        <w:t>ПОХІДНИХ БУРШТИНОВОЇ КИСЛОТИ»</w:t>
      </w:r>
    </w:p>
    <w:p w:rsidR="00CD54E9" w:rsidRPr="002C48BC" w:rsidRDefault="00CD54E9" w:rsidP="008E2269">
      <w:pPr>
        <w:pStyle w:val="21"/>
        <w:jc w:val="center"/>
        <w:rPr>
          <w:rFonts w:ascii="Times New Roman" w:hAnsi="Times New Roman"/>
          <w:sz w:val="20"/>
          <w:szCs w:val="20"/>
        </w:rPr>
      </w:pPr>
    </w:p>
    <w:p w:rsidR="00CD54E9" w:rsidRPr="008E2269" w:rsidRDefault="00CD54E9" w:rsidP="008E2269">
      <w:pPr>
        <w:pStyle w:val="21"/>
        <w:jc w:val="center"/>
        <w:rPr>
          <w:rFonts w:ascii="Times New Roman" w:hAnsi="Times New Roman"/>
          <w:sz w:val="20"/>
          <w:szCs w:val="20"/>
          <w:lang w:val="ru-RU"/>
        </w:rPr>
      </w:pPr>
    </w:p>
    <w:p w:rsidR="00CD54E9" w:rsidRPr="008E2269" w:rsidRDefault="00CD54E9" w:rsidP="008E2269">
      <w:pPr>
        <w:pStyle w:val="21"/>
        <w:jc w:val="center"/>
        <w:rPr>
          <w:rFonts w:ascii="Times New Roman" w:hAnsi="Times New Roman"/>
          <w:sz w:val="20"/>
          <w:szCs w:val="20"/>
          <w:lang w:val="ru-RU"/>
        </w:rPr>
      </w:pPr>
    </w:p>
    <w:p w:rsidR="00CD54E9" w:rsidRPr="002C48BC" w:rsidRDefault="00CD54E9" w:rsidP="008E2269">
      <w:pPr>
        <w:pStyle w:val="21"/>
        <w:jc w:val="center"/>
        <w:rPr>
          <w:rFonts w:ascii="Times New Roman" w:hAnsi="Times New Roman"/>
          <w:sz w:val="20"/>
          <w:szCs w:val="20"/>
        </w:rPr>
      </w:pPr>
    </w:p>
    <w:p w:rsidR="00CD54E9" w:rsidRPr="008E2269" w:rsidRDefault="00CD54E9" w:rsidP="008E2269">
      <w:pPr>
        <w:pStyle w:val="21"/>
        <w:jc w:val="center"/>
        <w:rPr>
          <w:rFonts w:ascii="Times New Roman" w:hAnsi="Times New Roman"/>
          <w:sz w:val="20"/>
          <w:szCs w:val="20"/>
          <w:lang w:val="ru-RU"/>
        </w:rPr>
      </w:pPr>
      <w:r w:rsidRPr="002C48BC">
        <w:rPr>
          <w:rFonts w:ascii="Times New Roman" w:hAnsi="Times New Roman"/>
          <w:sz w:val="20"/>
          <w:szCs w:val="20"/>
        </w:rPr>
        <w:t>14.03.05 – фармакологія</w:t>
      </w:r>
    </w:p>
    <w:p w:rsidR="00CD54E9" w:rsidRPr="008E2269" w:rsidRDefault="00CD54E9" w:rsidP="008E2269">
      <w:pPr>
        <w:pStyle w:val="21"/>
        <w:jc w:val="center"/>
        <w:rPr>
          <w:rFonts w:ascii="Times New Roman" w:hAnsi="Times New Roman"/>
          <w:sz w:val="20"/>
          <w:szCs w:val="20"/>
          <w:lang w:val="ru-RU"/>
        </w:rPr>
      </w:pPr>
    </w:p>
    <w:p w:rsidR="00CD54E9" w:rsidRPr="008E2269" w:rsidRDefault="00CD54E9" w:rsidP="008E2269">
      <w:pPr>
        <w:pStyle w:val="21"/>
        <w:jc w:val="center"/>
        <w:rPr>
          <w:rFonts w:ascii="Times New Roman" w:hAnsi="Times New Roman"/>
          <w:sz w:val="20"/>
          <w:szCs w:val="20"/>
          <w:lang w:val="ru-RU"/>
        </w:rPr>
      </w:pPr>
    </w:p>
    <w:p w:rsidR="00CD54E9" w:rsidRPr="008E2269" w:rsidRDefault="00CD54E9" w:rsidP="008E2269">
      <w:pPr>
        <w:pStyle w:val="21"/>
        <w:jc w:val="center"/>
        <w:rPr>
          <w:rFonts w:ascii="Times New Roman" w:hAnsi="Times New Roman"/>
          <w:sz w:val="20"/>
          <w:szCs w:val="20"/>
          <w:lang w:val="ru-RU"/>
        </w:rPr>
      </w:pPr>
    </w:p>
    <w:p w:rsidR="00CD54E9" w:rsidRPr="008E2269" w:rsidRDefault="00CD54E9" w:rsidP="008E2269">
      <w:pPr>
        <w:pStyle w:val="21"/>
        <w:jc w:val="center"/>
        <w:rPr>
          <w:rFonts w:ascii="Times New Roman" w:hAnsi="Times New Roman"/>
          <w:sz w:val="20"/>
          <w:szCs w:val="20"/>
          <w:lang w:val="ru-RU"/>
        </w:rPr>
      </w:pPr>
    </w:p>
    <w:p w:rsidR="00CD54E9" w:rsidRPr="002C48BC" w:rsidRDefault="00CD54E9" w:rsidP="008E2269">
      <w:pPr>
        <w:pStyle w:val="21"/>
        <w:jc w:val="center"/>
        <w:rPr>
          <w:rFonts w:ascii="Times New Roman" w:hAnsi="Times New Roman"/>
          <w:sz w:val="20"/>
          <w:szCs w:val="20"/>
        </w:rPr>
      </w:pPr>
      <w:r w:rsidRPr="002C48BC">
        <w:rPr>
          <w:rFonts w:ascii="Times New Roman" w:hAnsi="Times New Roman"/>
          <w:caps/>
          <w:sz w:val="20"/>
          <w:szCs w:val="20"/>
        </w:rPr>
        <w:t>Автореферат</w:t>
      </w:r>
      <w:r w:rsidRPr="002C48BC">
        <w:rPr>
          <w:rFonts w:ascii="Times New Roman" w:hAnsi="Times New Roman"/>
          <w:i/>
          <w:caps/>
          <w:sz w:val="20"/>
          <w:szCs w:val="20"/>
        </w:rPr>
        <w:br/>
      </w:r>
      <w:r w:rsidRPr="002C48BC">
        <w:rPr>
          <w:rFonts w:ascii="Times New Roman" w:hAnsi="Times New Roman"/>
          <w:sz w:val="20"/>
          <w:szCs w:val="20"/>
        </w:rPr>
        <w:t>дисертації на здобуття наукового ступеня</w:t>
      </w:r>
      <w:r w:rsidRPr="002C48BC">
        <w:rPr>
          <w:rFonts w:ascii="Times New Roman" w:hAnsi="Times New Roman"/>
          <w:sz w:val="20"/>
          <w:szCs w:val="20"/>
        </w:rPr>
        <w:br/>
        <w:t>кандидата медичних наук</w:t>
      </w: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sz w:val="20"/>
          <w:szCs w:val="20"/>
        </w:rPr>
      </w:pPr>
    </w:p>
    <w:p w:rsidR="00CD54E9" w:rsidRPr="002C48BC" w:rsidRDefault="00CD54E9" w:rsidP="008E2269">
      <w:pPr>
        <w:pStyle w:val="21"/>
        <w:jc w:val="center"/>
        <w:rPr>
          <w:rFonts w:ascii="Times New Roman" w:hAnsi="Times New Roman"/>
          <w:b/>
          <w:sz w:val="20"/>
          <w:szCs w:val="20"/>
        </w:rPr>
      </w:pPr>
      <w:r w:rsidRPr="002C48BC">
        <w:rPr>
          <w:rFonts w:ascii="Times New Roman" w:hAnsi="Times New Roman"/>
          <w:b/>
          <w:sz w:val="20"/>
          <w:szCs w:val="20"/>
        </w:rPr>
        <w:t>Київ – 2016</w:t>
      </w:r>
    </w:p>
    <w:p w:rsidR="00CD54E9" w:rsidRPr="008E2269" w:rsidRDefault="00CD54E9" w:rsidP="008E2269">
      <w:pPr>
        <w:spacing w:after="0" w:line="240" w:lineRule="auto"/>
        <w:rPr>
          <w:sz w:val="20"/>
          <w:szCs w:val="20"/>
        </w:rPr>
      </w:pPr>
      <w:r w:rsidRPr="002C48BC">
        <w:rPr>
          <w:sz w:val="20"/>
          <w:szCs w:val="20"/>
        </w:rPr>
        <w:t>Дисертацією є рукопис.</w:t>
      </w:r>
    </w:p>
    <w:p w:rsidR="00CD54E9" w:rsidRPr="008E2269" w:rsidRDefault="00CD54E9" w:rsidP="008E2269">
      <w:pPr>
        <w:spacing w:after="0" w:line="240" w:lineRule="auto"/>
        <w:rPr>
          <w:sz w:val="20"/>
          <w:szCs w:val="20"/>
        </w:rPr>
      </w:pPr>
    </w:p>
    <w:p w:rsidR="00CD54E9" w:rsidRPr="008E2269" w:rsidRDefault="00CD54E9" w:rsidP="008E2269">
      <w:pPr>
        <w:spacing w:after="0" w:line="240" w:lineRule="auto"/>
        <w:jc w:val="both"/>
        <w:rPr>
          <w:sz w:val="20"/>
          <w:szCs w:val="20"/>
        </w:rPr>
      </w:pPr>
      <w:r w:rsidRPr="002C48BC">
        <w:rPr>
          <w:sz w:val="20"/>
          <w:szCs w:val="20"/>
        </w:rPr>
        <w:t>Робота виконана на кафедрі фармакології Національного медичного університету імені О.О. Богомольця МОЗ України, м. Київ.</w:t>
      </w:r>
    </w:p>
    <w:p w:rsidR="00CD54E9" w:rsidRPr="008E2269" w:rsidRDefault="00CD54E9" w:rsidP="008E2269">
      <w:pPr>
        <w:spacing w:after="0" w:line="240" w:lineRule="auto"/>
        <w:rPr>
          <w:sz w:val="20"/>
          <w:szCs w:val="20"/>
        </w:rPr>
      </w:pPr>
    </w:p>
    <w:p w:rsidR="00CD54E9" w:rsidRPr="002C48BC" w:rsidRDefault="00CD54E9" w:rsidP="008E2269">
      <w:pPr>
        <w:spacing w:after="0" w:line="240" w:lineRule="auto"/>
        <w:contextualSpacing/>
        <w:rPr>
          <w:sz w:val="20"/>
          <w:szCs w:val="20"/>
        </w:rPr>
      </w:pPr>
      <w:r w:rsidRPr="002C48BC">
        <w:rPr>
          <w:b/>
          <w:sz w:val="20"/>
          <w:szCs w:val="20"/>
        </w:rPr>
        <w:t xml:space="preserve">Науковий керівник </w:t>
      </w:r>
    </w:p>
    <w:p w:rsidR="00CD54E9" w:rsidRPr="002C48BC" w:rsidRDefault="00CD54E9" w:rsidP="008E2269">
      <w:pPr>
        <w:spacing w:after="0" w:line="240" w:lineRule="auto"/>
        <w:ind w:left="1843"/>
        <w:contextualSpacing/>
        <w:rPr>
          <w:sz w:val="20"/>
          <w:szCs w:val="20"/>
        </w:rPr>
      </w:pPr>
      <w:r w:rsidRPr="002C48BC">
        <w:rPr>
          <w:sz w:val="20"/>
          <w:szCs w:val="20"/>
        </w:rPr>
        <w:t>доктор медичних наук, професор,</w:t>
      </w:r>
    </w:p>
    <w:p w:rsidR="00CD54E9" w:rsidRPr="002C48BC" w:rsidRDefault="00CD54E9" w:rsidP="008E2269">
      <w:pPr>
        <w:spacing w:after="0" w:line="240" w:lineRule="auto"/>
        <w:ind w:left="1843"/>
        <w:contextualSpacing/>
        <w:rPr>
          <w:sz w:val="20"/>
          <w:szCs w:val="20"/>
        </w:rPr>
      </w:pPr>
      <w:r w:rsidRPr="002C48BC">
        <w:rPr>
          <w:sz w:val="20"/>
          <w:szCs w:val="20"/>
        </w:rPr>
        <w:t>член-кореспондент НАН і НАМН України</w:t>
      </w:r>
    </w:p>
    <w:p w:rsidR="00CD54E9" w:rsidRPr="008E2269" w:rsidRDefault="00CD54E9" w:rsidP="008E2269">
      <w:pPr>
        <w:spacing w:after="0" w:line="240" w:lineRule="auto"/>
        <w:ind w:left="1843"/>
        <w:contextualSpacing/>
        <w:rPr>
          <w:b/>
          <w:sz w:val="20"/>
          <w:szCs w:val="20"/>
        </w:rPr>
      </w:pPr>
      <w:r w:rsidRPr="002C48BC">
        <w:rPr>
          <w:b/>
          <w:sz w:val="20"/>
          <w:szCs w:val="20"/>
        </w:rPr>
        <w:t>Чекман Іван Сергійович</w:t>
      </w:r>
      <w:r w:rsidRPr="008E2269">
        <w:rPr>
          <w:b/>
          <w:sz w:val="20"/>
          <w:szCs w:val="20"/>
        </w:rPr>
        <w:t>,</w:t>
      </w:r>
    </w:p>
    <w:p w:rsidR="00CD54E9" w:rsidRPr="002C48BC" w:rsidRDefault="00CD54E9" w:rsidP="008E2269">
      <w:pPr>
        <w:spacing w:after="0" w:line="240" w:lineRule="auto"/>
        <w:ind w:left="1843"/>
        <w:contextualSpacing/>
        <w:rPr>
          <w:sz w:val="20"/>
          <w:szCs w:val="20"/>
        </w:rPr>
      </w:pPr>
      <w:r w:rsidRPr="002C48BC">
        <w:rPr>
          <w:sz w:val="20"/>
          <w:szCs w:val="20"/>
        </w:rPr>
        <w:t xml:space="preserve">Національний медичний університет </w:t>
      </w:r>
      <w:r w:rsidRPr="008E2269">
        <w:rPr>
          <w:sz w:val="20"/>
          <w:szCs w:val="20"/>
        </w:rPr>
        <w:br/>
      </w:r>
      <w:r w:rsidRPr="002C48BC">
        <w:rPr>
          <w:sz w:val="20"/>
          <w:szCs w:val="20"/>
        </w:rPr>
        <w:t>імені О.О. Богомольця МОЗ України, м. Київ,</w:t>
      </w:r>
    </w:p>
    <w:p w:rsidR="00CD54E9" w:rsidRPr="008E2269" w:rsidRDefault="00CD54E9" w:rsidP="008E2269">
      <w:pPr>
        <w:spacing w:after="0" w:line="240" w:lineRule="auto"/>
        <w:ind w:left="1843"/>
        <w:contextualSpacing/>
        <w:rPr>
          <w:sz w:val="20"/>
          <w:szCs w:val="20"/>
        </w:rPr>
      </w:pPr>
      <w:r w:rsidRPr="002C48BC">
        <w:rPr>
          <w:sz w:val="20"/>
          <w:szCs w:val="20"/>
        </w:rPr>
        <w:t>завідувач кафедри фармакології</w:t>
      </w:r>
      <w:r w:rsidRPr="008E2269">
        <w:rPr>
          <w:sz w:val="20"/>
          <w:szCs w:val="20"/>
        </w:rPr>
        <w:t>.</w:t>
      </w:r>
    </w:p>
    <w:p w:rsidR="00CD54E9" w:rsidRPr="002C48BC" w:rsidRDefault="00CD54E9" w:rsidP="008E2269">
      <w:pPr>
        <w:spacing w:after="0" w:line="240" w:lineRule="auto"/>
        <w:rPr>
          <w:sz w:val="20"/>
          <w:szCs w:val="20"/>
        </w:rPr>
      </w:pPr>
    </w:p>
    <w:p w:rsidR="00CD54E9" w:rsidRPr="008E2269" w:rsidRDefault="00CD54E9" w:rsidP="008E2269">
      <w:pPr>
        <w:spacing w:after="0" w:line="240" w:lineRule="auto"/>
        <w:contextualSpacing/>
        <w:rPr>
          <w:b/>
          <w:sz w:val="20"/>
          <w:szCs w:val="20"/>
        </w:rPr>
      </w:pPr>
      <w:r w:rsidRPr="002C48BC">
        <w:rPr>
          <w:b/>
          <w:sz w:val="20"/>
          <w:szCs w:val="20"/>
        </w:rPr>
        <w:t xml:space="preserve">Офіційні опоненти: </w:t>
      </w:r>
    </w:p>
    <w:p w:rsidR="00CD54E9" w:rsidRPr="002C48BC" w:rsidRDefault="00CD54E9" w:rsidP="008E2269">
      <w:pPr>
        <w:spacing w:after="0" w:line="240" w:lineRule="auto"/>
        <w:ind w:left="1843"/>
        <w:contextualSpacing/>
        <w:rPr>
          <w:sz w:val="20"/>
          <w:szCs w:val="20"/>
        </w:rPr>
      </w:pPr>
      <w:r w:rsidRPr="002C48BC">
        <w:rPr>
          <w:sz w:val="20"/>
          <w:szCs w:val="20"/>
        </w:rPr>
        <w:t>доктор медичних наук, професор</w:t>
      </w:r>
    </w:p>
    <w:p w:rsidR="00CD54E9" w:rsidRPr="002C48BC" w:rsidRDefault="00CD54E9" w:rsidP="008E2269">
      <w:pPr>
        <w:spacing w:after="0" w:line="240" w:lineRule="auto"/>
        <w:ind w:left="1843"/>
        <w:contextualSpacing/>
        <w:rPr>
          <w:b/>
          <w:sz w:val="20"/>
          <w:szCs w:val="20"/>
        </w:rPr>
      </w:pPr>
      <w:r w:rsidRPr="002C48BC">
        <w:rPr>
          <w:b/>
          <w:sz w:val="20"/>
          <w:szCs w:val="20"/>
        </w:rPr>
        <w:t>Маньковська Ірина Микитів</w:t>
      </w:r>
      <w:bookmarkStart w:id="0" w:name="_GoBack"/>
      <w:bookmarkEnd w:id="0"/>
      <w:r w:rsidRPr="002C48BC">
        <w:rPr>
          <w:b/>
          <w:sz w:val="20"/>
          <w:szCs w:val="20"/>
        </w:rPr>
        <w:t>на,</w:t>
      </w:r>
    </w:p>
    <w:p w:rsidR="00CD54E9" w:rsidRPr="002C48BC" w:rsidRDefault="00CD54E9" w:rsidP="008E2269">
      <w:pPr>
        <w:spacing w:after="0" w:line="240" w:lineRule="auto"/>
        <w:ind w:left="1843"/>
        <w:contextualSpacing/>
        <w:rPr>
          <w:sz w:val="20"/>
          <w:szCs w:val="20"/>
        </w:rPr>
      </w:pPr>
      <w:r w:rsidRPr="002C48BC">
        <w:rPr>
          <w:sz w:val="20"/>
          <w:szCs w:val="20"/>
        </w:rPr>
        <w:t xml:space="preserve">Інститут фізіології ім. О.О. Богомольця </w:t>
      </w:r>
      <w:r w:rsidRPr="008E2269">
        <w:rPr>
          <w:sz w:val="20"/>
          <w:szCs w:val="20"/>
        </w:rPr>
        <w:br/>
      </w:r>
      <w:r w:rsidRPr="002C48BC">
        <w:rPr>
          <w:sz w:val="20"/>
          <w:szCs w:val="20"/>
        </w:rPr>
        <w:t>НАН України,</w:t>
      </w:r>
      <w:r w:rsidRPr="008E2269">
        <w:rPr>
          <w:sz w:val="20"/>
          <w:szCs w:val="20"/>
        </w:rPr>
        <w:t xml:space="preserve"> </w:t>
      </w:r>
      <w:r w:rsidRPr="002C48BC">
        <w:rPr>
          <w:sz w:val="20"/>
          <w:szCs w:val="20"/>
        </w:rPr>
        <w:t xml:space="preserve">м. Київ, </w:t>
      </w:r>
    </w:p>
    <w:p w:rsidR="00CD54E9" w:rsidRPr="002C48BC" w:rsidRDefault="00CD54E9" w:rsidP="008E2269">
      <w:pPr>
        <w:spacing w:after="0" w:line="240" w:lineRule="auto"/>
        <w:ind w:left="1843"/>
        <w:contextualSpacing/>
        <w:rPr>
          <w:sz w:val="20"/>
          <w:szCs w:val="20"/>
        </w:rPr>
      </w:pPr>
      <w:r w:rsidRPr="002C48BC">
        <w:rPr>
          <w:sz w:val="20"/>
          <w:szCs w:val="20"/>
        </w:rPr>
        <w:t>завідувач відділу вивчення гіпоксичних станів;</w:t>
      </w:r>
    </w:p>
    <w:p w:rsidR="00CD54E9" w:rsidRPr="002C48BC" w:rsidRDefault="00CD54E9" w:rsidP="008E2269">
      <w:pPr>
        <w:spacing w:after="0" w:line="240" w:lineRule="auto"/>
        <w:ind w:left="1843"/>
        <w:contextualSpacing/>
        <w:rPr>
          <w:sz w:val="20"/>
          <w:szCs w:val="20"/>
        </w:rPr>
      </w:pPr>
    </w:p>
    <w:p w:rsidR="00CD54E9" w:rsidRPr="002C48BC" w:rsidRDefault="00CD54E9" w:rsidP="008E2269">
      <w:pPr>
        <w:spacing w:after="0" w:line="240" w:lineRule="auto"/>
        <w:ind w:left="1843"/>
        <w:contextualSpacing/>
        <w:rPr>
          <w:sz w:val="20"/>
          <w:szCs w:val="20"/>
        </w:rPr>
      </w:pPr>
      <w:r w:rsidRPr="002C48BC">
        <w:rPr>
          <w:sz w:val="20"/>
          <w:szCs w:val="20"/>
        </w:rPr>
        <w:t>доктор медичних наук, професор</w:t>
      </w:r>
    </w:p>
    <w:p w:rsidR="00CD54E9" w:rsidRPr="002C48BC" w:rsidRDefault="00CD54E9" w:rsidP="008E2269">
      <w:pPr>
        <w:spacing w:after="0" w:line="240" w:lineRule="auto"/>
        <w:ind w:left="1843"/>
        <w:contextualSpacing/>
        <w:rPr>
          <w:b/>
          <w:sz w:val="20"/>
          <w:szCs w:val="20"/>
        </w:rPr>
      </w:pPr>
      <w:r w:rsidRPr="002C48BC">
        <w:rPr>
          <w:b/>
          <w:sz w:val="20"/>
          <w:szCs w:val="20"/>
        </w:rPr>
        <w:t>Степанюк Георгій Іванович,</w:t>
      </w:r>
    </w:p>
    <w:p w:rsidR="00CD54E9" w:rsidRPr="002C48BC" w:rsidRDefault="00CD54E9" w:rsidP="008E2269">
      <w:pPr>
        <w:spacing w:after="0" w:line="240" w:lineRule="auto"/>
        <w:ind w:left="1843"/>
        <w:contextualSpacing/>
        <w:rPr>
          <w:sz w:val="20"/>
          <w:szCs w:val="20"/>
        </w:rPr>
      </w:pPr>
      <w:r w:rsidRPr="002C48BC">
        <w:rPr>
          <w:sz w:val="20"/>
          <w:szCs w:val="20"/>
        </w:rPr>
        <w:t>Вінницький національний медичний університет ім.</w:t>
      </w:r>
      <w:r w:rsidRPr="002C48BC">
        <w:rPr>
          <w:sz w:val="20"/>
          <w:szCs w:val="20"/>
          <w:lang w:val="en-US"/>
        </w:rPr>
        <w:t> </w:t>
      </w:r>
      <w:r w:rsidRPr="002C48BC">
        <w:rPr>
          <w:sz w:val="20"/>
          <w:szCs w:val="20"/>
        </w:rPr>
        <w:t xml:space="preserve">М.І. Пирогова, м. Вінниця, </w:t>
      </w:r>
    </w:p>
    <w:p w:rsidR="00CD54E9" w:rsidRPr="002C48BC" w:rsidRDefault="00CD54E9" w:rsidP="008E2269">
      <w:pPr>
        <w:spacing w:after="0" w:line="240" w:lineRule="auto"/>
        <w:ind w:left="1843"/>
        <w:contextualSpacing/>
        <w:rPr>
          <w:sz w:val="20"/>
          <w:szCs w:val="20"/>
        </w:rPr>
      </w:pPr>
      <w:r w:rsidRPr="002C48BC">
        <w:rPr>
          <w:sz w:val="20"/>
          <w:szCs w:val="20"/>
        </w:rPr>
        <w:t>професор кафедри фармакології.</w:t>
      </w:r>
    </w:p>
    <w:p w:rsidR="00CD54E9" w:rsidRPr="002C48BC" w:rsidRDefault="00CD54E9" w:rsidP="008E2269">
      <w:pPr>
        <w:spacing w:after="0" w:line="240" w:lineRule="auto"/>
        <w:contextualSpacing/>
        <w:rPr>
          <w:sz w:val="20"/>
          <w:szCs w:val="20"/>
        </w:rPr>
      </w:pPr>
    </w:p>
    <w:p w:rsidR="00CD54E9" w:rsidRPr="002C48BC" w:rsidRDefault="00CD54E9" w:rsidP="008E2269">
      <w:pPr>
        <w:spacing w:after="0" w:line="240" w:lineRule="auto"/>
        <w:contextualSpacing/>
        <w:rPr>
          <w:sz w:val="20"/>
          <w:szCs w:val="20"/>
        </w:rPr>
      </w:pPr>
    </w:p>
    <w:p w:rsidR="00CD54E9" w:rsidRPr="002C48BC" w:rsidRDefault="00CD54E9" w:rsidP="008E2269">
      <w:pPr>
        <w:spacing w:after="0" w:line="240" w:lineRule="auto"/>
        <w:jc w:val="both"/>
        <w:rPr>
          <w:sz w:val="20"/>
          <w:szCs w:val="20"/>
        </w:rPr>
      </w:pPr>
      <w:r w:rsidRPr="002C48BC">
        <w:rPr>
          <w:sz w:val="20"/>
          <w:szCs w:val="20"/>
        </w:rPr>
        <w:t xml:space="preserve">Захист відбудеться « 16 » листопада 2016 р. о 13.00 год. на засіданні спеціалізованої вченої ради Д 26.550.01 при ДУ «Інститут фармакології та токсикології НАМН України» за адресою: </w:t>
      </w:r>
      <w:smartTag w:uri="urn:schemas-microsoft-com:office:smarttags" w:element="metricconverter">
        <w:smartTagPr>
          <w:attr w:name="ProductID" w:val="03680, м"/>
        </w:smartTagPr>
        <w:r w:rsidRPr="002C48BC">
          <w:rPr>
            <w:sz w:val="20"/>
            <w:szCs w:val="20"/>
          </w:rPr>
          <w:t>03680, м</w:t>
        </w:r>
      </w:smartTag>
      <w:r w:rsidRPr="002C48BC">
        <w:rPr>
          <w:sz w:val="20"/>
          <w:szCs w:val="20"/>
        </w:rPr>
        <w:t>. Київ, вул. Е. Потьє, 14.</w:t>
      </w:r>
    </w:p>
    <w:p w:rsidR="00CD54E9" w:rsidRPr="002C48BC" w:rsidRDefault="00CD54E9" w:rsidP="008E2269">
      <w:pPr>
        <w:spacing w:after="0" w:line="240" w:lineRule="auto"/>
        <w:rPr>
          <w:sz w:val="20"/>
          <w:szCs w:val="20"/>
        </w:rPr>
      </w:pPr>
    </w:p>
    <w:p w:rsidR="00CD54E9" w:rsidRPr="002C48BC" w:rsidRDefault="00CD54E9" w:rsidP="008E2269">
      <w:pPr>
        <w:spacing w:after="0" w:line="240" w:lineRule="auto"/>
        <w:rPr>
          <w:sz w:val="20"/>
          <w:szCs w:val="20"/>
        </w:rPr>
      </w:pPr>
    </w:p>
    <w:p w:rsidR="00CD54E9" w:rsidRPr="002C48BC" w:rsidRDefault="00CD54E9" w:rsidP="008E2269">
      <w:pPr>
        <w:spacing w:after="0" w:line="240" w:lineRule="auto"/>
        <w:jc w:val="both"/>
        <w:rPr>
          <w:sz w:val="20"/>
          <w:szCs w:val="20"/>
        </w:rPr>
      </w:pPr>
      <w:r w:rsidRPr="002C48BC">
        <w:rPr>
          <w:sz w:val="20"/>
          <w:szCs w:val="20"/>
        </w:rPr>
        <w:t xml:space="preserve">З дисертацією можна ознайомитись у бібліотеці ДУ «Інститут фармакології та токсикології НАМН України» за адресою: </w:t>
      </w:r>
      <w:smartTag w:uri="urn:schemas-microsoft-com:office:smarttags" w:element="metricconverter">
        <w:smartTagPr>
          <w:attr w:name="ProductID" w:val="03680, м"/>
        </w:smartTagPr>
        <w:r w:rsidRPr="002C48BC">
          <w:rPr>
            <w:sz w:val="20"/>
            <w:szCs w:val="20"/>
          </w:rPr>
          <w:t>03680, м</w:t>
        </w:r>
      </w:smartTag>
      <w:r w:rsidRPr="002C48BC">
        <w:rPr>
          <w:sz w:val="20"/>
          <w:szCs w:val="20"/>
        </w:rPr>
        <w:t>. Київ, вул. Е. Потьє, 14.</w:t>
      </w:r>
    </w:p>
    <w:p w:rsidR="00CD54E9" w:rsidRPr="008E2269" w:rsidRDefault="00CD54E9" w:rsidP="008E2269">
      <w:pPr>
        <w:spacing w:after="0" w:line="240" w:lineRule="auto"/>
        <w:rPr>
          <w:sz w:val="20"/>
          <w:szCs w:val="20"/>
          <w:lang w:val="ru-RU"/>
        </w:rPr>
      </w:pPr>
    </w:p>
    <w:p w:rsidR="00CD54E9" w:rsidRPr="008E2269" w:rsidRDefault="00CD54E9" w:rsidP="008E2269">
      <w:pPr>
        <w:spacing w:after="0" w:line="240" w:lineRule="auto"/>
        <w:rPr>
          <w:sz w:val="20"/>
          <w:szCs w:val="20"/>
          <w:lang w:val="ru-RU"/>
        </w:rPr>
      </w:pPr>
    </w:p>
    <w:p w:rsidR="00CD54E9" w:rsidRPr="002C48BC" w:rsidRDefault="00CD54E9" w:rsidP="008E2269">
      <w:pPr>
        <w:spacing w:after="0" w:line="240" w:lineRule="auto"/>
        <w:rPr>
          <w:sz w:val="20"/>
          <w:szCs w:val="20"/>
        </w:rPr>
      </w:pPr>
      <w:r w:rsidRPr="002C48BC">
        <w:rPr>
          <w:sz w:val="20"/>
          <w:szCs w:val="20"/>
        </w:rPr>
        <w:t>Автореферат розісланий « __ » ____</w:t>
      </w:r>
      <w:r w:rsidRPr="008E2269">
        <w:rPr>
          <w:sz w:val="20"/>
          <w:szCs w:val="20"/>
          <w:lang w:val="ru-RU"/>
        </w:rPr>
        <w:t>____________</w:t>
      </w:r>
      <w:r w:rsidRPr="002C48BC">
        <w:rPr>
          <w:sz w:val="20"/>
          <w:szCs w:val="20"/>
        </w:rPr>
        <w:t>__ 201</w:t>
      </w:r>
      <w:r w:rsidRPr="002C48BC">
        <w:rPr>
          <w:sz w:val="20"/>
          <w:szCs w:val="20"/>
          <w:lang w:val="ru-RU"/>
        </w:rPr>
        <w:t>6</w:t>
      </w:r>
      <w:r w:rsidRPr="002C48BC">
        <w:rPr>
          <w:sz w:val="20"/>
          <w:szCs w:val="20"/>
        </w:rPr>
        <w:t xml:space="preserve"> р.</w:t>
      </w:r>
    </w:p>
    <w:p w:rsidR="00CD54E9" w:rsidRPr="008E2269" w:rsidRDefault="00CD54E9" w:rsidP="008E2269">
      <w:pPr>
        <w:spacing w:after="0" w:line="240" w:lineRule="auto"/>
        <w:rPr>
          <w:sz w:val="20"/>
          <w:szCs w:val="20"/>
          <w:lang w:val="ru-RU"/>
        </w:rPr>
      </w:pPr>
    </w:p>
    <w:p w:rsidR="00CD54E9" w:rsidRPr="008E2269" w:rsidRDefault="00CD54E9" w:rsidP="008E2269">
      <w:pPr>
        <w:spacing w:after="0" w:line="240" w:lineRule="auto"/>
        <w:rPr>
          <w:sz w:val="20"/>
          <w:szCs w:val="20"/>
          <w:lang w:val="ru-RU"/>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Данова І.В.jpg" style="position:absolute;margin-left:171.45pt;margin-top:8pt;width:81.85pt;height:52pt;z-index:-251660800;visibility:visible">
            <v:imagedata r:id="rId5" o:title=""/>
          </v:shape>
        </w:pict>
      </w:r>
    </w:p>
    <w:p w:rsidR="00CD54E9" w:rsidRPr="002C48BC" w:rsidRDefault="00CD54E9" w:rsidP="008E2269">
      <w:pPr>
        <w:spacing w:after="0" w:line="240" w:lineRule="auto"/>
        <w:jc w:val="both"/>
        <w:rPr>
          <w:b/>
          <w:sz w:val="20"/>
          <w:szCs w:val="20"/>
        </w:rPr>
      </w:pPr>
      <w:r w:rsidRPr="002C48BC">
        <w:rPr>
          <w:b/>
          <w:sz w:val="20"/>
          <w:szCs w:val="20"/>
        </w:rPr>
        <w:t>Вчений секретар спеціалізованої</w:t>
      </w:r>
    </w:p>
    <w:p w:rsidR="00CD54E9" w:rsidRPr="002C48BC" w:rsidRDefault="00CD54E9" w:rsidP="008E2269">
      <w:pPr>
        <w:spacing w:after="0" w:line="240" w:lineRule="auto"/>
        <w:jc w:val="both"/>
        <w:rPr>
          <w:b/>
          <w:sz w:val="20"/>
          <w:szCs w:val="20"/>
        </w:rPr>
      </w:pPr>
      <w:r w:rsidRPr="002C48BC">
        <w:rPr>
          <w:b/>
          <w:sz w:val="20"/>
          <w:szCs w:val="20"/>
        </w:rPr>
        <w:t>вченої ради Д 26.550.01,</w:t>
      </w:r>
    </w:p>
    <w:p w:rsidR="00CD54E9" w:rsidRPr="002C48BC" w:rsidRDefault="00CD54E9" w:rsidP="008E2269">
      <w:pPr>
        <w:spacing w:after="0" w:line="240" w:lineRule="auto"/>
        <w:jc w:val="both"/>
        <w:rPr>
          <w:sz w:val="20"/>
          <w:szCs w:val="20"/>
        </w:rPr>
      </w:pPr>
      <w:r w:rsidRPr="002C48BC">
        <w:rPr>
          <w:b/>
          <w:sz w:val="20"/>
          <w:szCs w:val="20"/>
        </w:rPr>
        <w:t>кандидат біологічних наук</w:t>
      </w:r>
      <w:r w:rsidRPr="002C48BC">
        <w:rPr>
          <w:b/>
          <w:sz w:val="20"/>
          <w:szCs w:val="20"/>
        </w:rPr>
        <w:tab/>
      </w:r>
      <w:r w:rsidRPr="002C48BC">
        <w:rPr>
          <w:b/>
          <w:sz w:val="20"/>
          <w:szCs w:val="20"/>
        </w:rPr>
        <w:tab/>
      </w:r>
      <w:r w:rsidRPr="002C48BC">
        <w:rPr>
          <w:b/>
          <w:sz w:val="20"/>
          <w:szCs w:val="20"/>
        </w:rPr>
        <w:tab/>
      </w:r>
      <w:r w:rsidRPr="002C48BC">
        <w:rPr>
          <w:b/>
          <w:sz w:val="20"/>
          <w:szCs w:val="20"/>
        </w:rPr>
        <w:tab/>
      </w:r>
      <w:r w:rsidRPr="008E2269">
        <w:rPr>
          <w:b/>
          <w:sz w:val="20"/>
          <w:szCs w:val="20"/>
          <w:lang w:val="ru-RU"/>
        </w:rPr>
        <w:t xml:space="preserve">        </w:t>
      </w:r>
      <w:r w:rsidRPr="002C48BC">
        <w:rPr>
          <w:b/>
          <w:sz w:val="20"/>
          <w:szCs w:val="20"/>
        </w:rPr>
        <w:t>І.В. Данова</w:t>
      </w:r>
    </w:p>
    <w:p w:rsidR="00CD54E9" w:rsidRPr="008E2269" w:rsidRDefault="00CD54E9" w:rsidP="008E2269">
      <w:pPr>
        <w:spacing w:after="0" w:line="228" w:lineRule="auto"/>
        <w:jc w:val="center"/>
        <w:rPr>
          <w:b/>
          <w:sz w:val="20"/>
          <w:szCs w:val="20"/>
          <w:lang w:val="ru-RU"/>
        </w:rPr>
      </w:pPr>
      <w:r w:rsidRPr="00FA11F9">
        <w:rPr>
          <w:b/>
          <w:sz w:val="20"/>
          <w:szCs w:val="20"/>
        </w:rPr>
        <w:t>ЗАГАЛЬНА ХАРАКТЕРИСТИКА РОБОТИ</w:t>
      </w:r>
    </w:p>
    <w:p w:rsidR="00CD54E9" w:rsidRPr="008E2269" w:rsidRDefault="00CD54E9" w:rsidP="008E2269">
      <w:pPr>
        <w:spacing w:after="0" w:line="228" w:lineRule="auto"/>
        <w:ind w:firstLine="567"/>
        <w:jc w:val="center"/>
        <w:rPr>
          <w:b/>
          <w:sz w:val="20"/>
          <w:szCs w:val="20"/>
          <w:lang w:val="ru-RU"/>
        </w:rPr>
      </w:pP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z w:val="20"/>
          <w:szCs w:val="20"/>
        </w:rPr>
        <w:t xml:space="preserve">Актуальність теми. </w:t>
      </w:r>
      <w:r w:rsidRPr="00FA11F9">
        <w:rPr>
          <w:rFonts w:ascii="Times New Roman" w:hAnsi="Times New Roman"/>
          <w:sz w:val="20"/>
          <w:szCs w:val="20"/>
        </w:rPr>
        <w:t>Одним з головних методів лікування злоякісних захворювань поряд з променевою терапією і оперативним лікуванням є хіміотерапія цитостатиками. Разом з тим, більшість протипухлинних засобів викликають небажані ефекти, які можуть різнитися в залежності від клінічних ситуацій [Bovelli D., 2010; Ewer M.S., 2008; Mann D.L., 2005].</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Антрациклінові антибіотики залишаються базисними препаратами лікування багатьох злоякісних новоутворень, включаючи лімфоми, лейкози, саркоми, широко застосовуються на ранніх і пізніх стадіях раку молочної залози. Однак антрацикліни зумовлюють ушкодження серцевого м’яза та розвиток кардіотоксичності, механізми якої пов’язують з окиснювальним стресом, апоптозом, некрозом кардіоміоцитів та іншими змінами обміну речовин і генетичного апарату [Albini A., 2010; Sawaya H., 2012]. Відомі експериментальні дослідження щодо пошуку кардіопротекторів для запобігання проявам антрациклінової кардіоміопатії – нікотинамід, тіотриазолін, кверцетин [Мазур И.А., 2007; Трофімова Т.С., 2004; Чекман І.С., 2008].</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З метою кардіопротекції у клініці разом із групою препаратів антрациклінів випробовували бета-адреноблокатори, блокатори ангіотензин-перетворюючого ферменту, івабрадин [Васюк Ю.А., 2012].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З протипухлинних препаратів-антиметаболітів у клініці часто призначають фторурацил, який також спричинює гемодинамічні зміни внаслідок пошкоджувального впливу на ендотелій і може порушити діяльність міокарда [Борзенко Б.Г., 2013; Ищенко Р.В., 2011]. Для запобігання проявам кардіотоксичності фторидів застосовували кислоту фолієву, антагоністи кальцію, дальтепарин, антиоксиданти [Коваленко В.Н., 2002]. Крім фторурацилу, фторидні лікарські засоби у вигляді натрію фториду використовують у стоматології [Rasines G., 2010].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За даними літератури, натрію фторид зумовлює гістотоксичну гіпоксію [Чекман І.С., Горчакова Н.О., 2010], яку може спричинити і фторурацил. Досліджена ефективність похідних 2,3-триазолу та АТФ-лонг за гістотоксичної гіпоксії, зумовленої натрію фторидом, щодо запобігання появам змін перекисного окиснення ліпідів і енергетичного обміну [Клименко О.В., 2010; Ключева Е.Г., 2008]. Хоча деякі біохімічні аспекти розвитку доксорубіцинової кардіоміопатії та фторидної інтоксикації були встановлені, однак не з’ясована участь у розвитку цих патологій показників NO-системи та тіол-дисульфідної системи, що задіяні в метаболізмі міокарда [Губський Ю.І., 2015].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Крім того, актуальним є пошук нових кардіопротекторів у комплексі протипухлинної фармакотерапії антрациклінами та фторвмісними антиметаболітами серед малотоксичних сполук з антиоксидантною та антигіпоксичною дією. Вони характеризуються широким спектром впливу на біохімічні показники міокарда, що важливо для врахування індивідуальної чутливості до препаратів. З цього погляду слід привернути увагу до похідних бурштинової кислоти, які мають антигіпоксичну, антиоксидантну, органопротекторну дію [Гончар О.О., Маньковська І.М., 2011].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Із зареєстрованих в Україні сполук бурштинової кислоти з кардіопротекторною дією найбільша активність визначена у мексикору [Сидоренко Г.И., 2011]. Колективом Інституту органічної хімії НАН України синтезований фармакологічний засіб яктон (також похідне бурштинової кислоти), в якого, крім антиоксидантного впливу, встановлені нейро- та кардіопротекторний ефекти [Яковлєва І.Ю., 2006]. </w:t>
      </w:r>
    </w:p>
    <w:p w:rsidR="00CD54E9" w:rsidRPr="00FA11F9" w:rsidRDefault="00CD54E9" w:rsidP="008E2269">
      <w:pPr>
        <w:spacing w:after="0" w:line="228" w:lineRule="auto"/>
        <w:ind w:firstLine="567"/>
        <w:jc w:val="both"/>
        <w:rPr>
          <w:sz w:val="20"/>
          <w:szCs w:val="20"/>
        </w:rPr>
      </w:pPr>
      <w:r w:rsidRPr="00FA11F9">
        <w:rPr>
          <w:sz w:val="20"/>
          <w:szCs w:val="20"/>
        </w:rPr>
        <w:t xml:space="preserve">Враховуючи наведені дані, можна вважати перспективними дослідження кардіопротекторної дії яктону та мексикору щодо показників </w:t>
      </w:r>
      <w:r w:rsidRPr="00FA11F9">
        <w:rPr>
          <w:spacing w:val="-2"/>
          <w:sz w:val="20"/>
          <w:szCs w:val="20"/>
        </w:rPr>
        <w:t>гемодинаміки, прооксидантно-антиоксидантного гомеостазу, енергетичного</w:t>
      </w:r>
      <w:r w:rsidRPr="00FA11F9">
        <w:rPr>
          <w:sz w:val="20"/>
          <w:szCs w:val="20"/>
        </w:rPr>
        <w:t xml:space="preserve"> обміну, тіол-дисульфідних показників та NO-системи в міокарді щурів при доксорубіциновій кардіоміопатії і фторидній інтоксикації.</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z w:val="20"/>
          <w:szCs w:val="20"/>
        </w:rPr>
        <w:t xml:space="preserve">Зв’язок роботи з науковими програмами, планами, темами. </w:t>
      </w:r>
      <w:r w:rsidRPr="00FA11F9">
        <w:rPr>
          <w:rFonts w:ascii="Times New Roman" w:hAnsi="Times New Roman"/>
          <w:sz w:val="20"/>
          <w:szCs w:val="20"/>
        </w:rPr>
        <w:t>Дисертація є продовженням досліджень співробітників кафедри фармакології Національного медичного університету імені О.О. Богомольця. Дисертаційна робота є фрагментом таких наукових тематик кафедри: «Експериментальне обґрунтування комбінованого застосування кардіотропних препаратів» (№ держреєстрації НДР 0111U009417) та «Фармакологічні властивості похідних янтарної кислоти за умов гіпоксії» (№ держреєстрації НДР 0115U004160).</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z w:val="20"/>
          <w:szCs w:val="20"/>
        </w:rPr>
        <w:t xml:space="preserve">Мета роботи. </w:t>
      </w:r>
      <w:r w:rsidRPr="00FA11F9">
        <w:rPr>
          <w:rFonts w:ascii="Times New Roman" w:hAnsi="Times New Roman"/>
          <w:sz w:val="20"/>
          <w:szCs w:val="20"/>
        </w:rPr>
        <w:t>Експериментально обґрунтувати кардіопротекторну дію похідних бурштинової кислоти (яктон, мексикор) на метаболітні процеси в серці та системну гемодинаміку на тлі експериментальної доксорубіцинової кардіоміопатії та фторидної інтоксикації.</w:t>
      </w:r>
    </w:p>
    <w:p w:rsidR="00CD54E9" w:rsidRPr="00FA11F9" w:rsidRDefault="00CD54E9" w:rsidP="008E2269">
      <w:pPr>
        <w:pStyle w:val="NoSpacing"/>
        <w:spacing w:line="228" w:lineRule="auto"/>
        <w:ind w:firstLine="567"/>
        <w:jc w:val="both"/>
        <w:rPr>
          <w:rFonts w:ascii="Times New Roman" w:hAnsi="Times New Roman"/>
          <w:b/>
          <w:sz w:val="20"/>
          <w:szCs w:val="20"/>
        </w:rPr>
      </w:pPr>
      <w:r w:rsidRPr="00FA11F9">
        <w:rPr>
          <w:rFonts w:ascii="Times New Roman" w:hAnsi="Times New Roman"/>
          <w:sz w:val="20"/>
          <w:szCs w:val="20"/>
        </w:rPr>
        <w:t xml:space="preserve">Відповідно до загальної мети сформульовані такі </w:t>
      </w:r>
      <w:r w:rsidRPr="00FA11F9">
        <w:rPr>
          <w:rFonts w:ascii="Times New Roman" w:hAnsi="Times New Roman"/>
          <w:b/>
          <w:i/>
          <w:sz w:val="20"/>
          <w:szCs w:val="20"/>
        </w:rPr>
        <w:t>завдання дослідження:</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1. Визначити вплив яктону на токсичність доксорубіцину, натрію фториду, в експериментах на мишах, тривалість тіопенталового сну в експериментах на щурах.</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2. Дослідити дію яктону на діяльність серця та показники системної гемодинаміки кролів в умовах доксорубіцинової кардіоміопатії та фторидної інтоксикації.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3. Встановити дію похідних бурштинової кислоти на показники прооксидантно-антиоксидантного гомеостазу та протеінсинтезу в міокарді щурів при патологічних станах.</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4. Охарактеризувати вплив похідних бурштинової кислоти на показники енергетичного обміну (вміст аденілових нуклеотидів, активність креатинфосфокінази, показники гліколізу, глюконеогенезу, циклу Кребса, малат-аспартатного шунта) в міокарді щурів при доксорубіциновій кардіоміопатії та фторидній інтоксикації.</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5. Дослідити наявність мітопротекторної дії у похідних бурштинової кислоти при доксорубіциновій кардіоміопатії та фторидній інтоксикації.</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6. Встановити дію похідних бурштинової кислоти на показники метаболізму NO та тіол-дисульфідної системи в міокарді щурів на фоні доксорубіцинової кардіоміопатії і фторидної інтоксикації.</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7. Провести квантово-хімічні дослідження механізмів кардіо</w:t>
      </w:r>
      <w:r w:rsidRPr="00FA11F9">
        <w:rPr>
          <w:rFonts w:ascii="Times New Roman" w:hAnsi="Times New Roman"/>
          <w:sz w:val="20"/>
          <w:szCs w:val="20"/>
        </w:rPr>
        <w:softHyphen/>
        <w:t>протекторної дії бурштинової кислоти.</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i/>
          <w:sz w:val="20"/>
          <w:szCs w:val="20"/>
        </w:rPr>
        <w:t xml:space="preserve">Об’єкт дослідження </w:t>
      </w:r>
      <w:r w:rsidRPr="00FA11F9">
        <w:rPr>
          <w:rFonts w:ascii="Times New Roman" w:hAnsi="Times New Roman"/>
          <w:sz w:val="20"/>
          <w:szCs w:val="20"/>
        </w:rPr>
        <w:t>– доксорубіцинова кардіоміопатія, фторидна інтоксикація.</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i/>
          <w:sz w:val="20"/>
          <w:szCs w:val="20"/>
        </w:rPr>
        <w:t xml:space="preserve">Предмет дослідження – </w:t>
      </w:r>
      <w:r w:rsidRPr="00FA11F9">
        <w:rPr>
          <w:rFonts w:ascii="Times New Roman" w:hAnsi="Times New Roman"/>
          <w:sz w:val="20"/>
          <w:szCs w:val="20"/>
        </w:rPr>
        <w:t>протекторні властивості яктону та мексикору в умовах доксорубіцинової кардіоміопатії та фторидної інтоксикації.</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i/>
          <w:sz w:val="20"/>
          <w:szCs w:val="20"/>
        </w:rPr>
        <w:t xml:space="preserve">Методи дослідження – </w:t>
      </w:r>
      <w:r w:rsidRPr="00FA11F9">
        <w:rPr>
          <w:rFonts w:ascii="Times New Roman" w:hAnsi="Times New Roman"/>
          <w:sz w:val="20"/>
          <w:szCs w:val="20"/>
        </w:rPr>
        <w:t>фармакологічні, токсикологічні, біохімічні, квантово-хімічні, статистичні.</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z w:val="20"/>
          <w:szCs w:val="20"/>
        </w:rPr>
        <w:t xml:space="preserve">Наукова новизна отриманих результатів. </w:t>
      </w:r>
      <w:r w:rsidRPr="00FA11F9">
        <w:rPr>
          <w:rFonts w:ascii="Times New Roman" w:hAnsi="Times New Roman"/>
          <w:sz w:val="20"/>
          <w:szCs w:val="20"/>
        </w:rPr>
        <w:t xml:space="preserve">Пріоритетним є результат вивчення кардіопротекторних властивостей яктону порівняно з мексикором при доксорубіциновій кардіоміопатії, а також яктону при фторидній інтоксикації. Вперше встановлена антитоксична дія яктону при гострому отруєнні мишей доксорубіцином та натрію фторидом, а також на фоні тіопенталового сну.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На фоні яктону в дозі 140 мг/кг ДЛ</w:t>
      </w:r>
      <w:r w:rsidRPr="00FA11F9">
        <w:rPr>
          <w:rFonts w:ascii="Times New Roman" w:hAnsi="Times New Roman"/>
          <w:sz w:val="20"/>
          <w:szCs w:val="20"/>
          <w:vertAlign w:val="subscript"/>
        </w:rPr>
        <w:t>50</w:t>
      </w:r>
      <w:r w:rsidRPr="00FA11F9">
        <w:rPr>
          <w:rFonts w:ascii="Times New Roman" w:hAnsi="Times New Roman"/>
          <w:sz w:val="20"/>
          <w:szCs w:val="20"/>
        </w:rPr>
        <w:t xml:space="preserve"> доксорубіцину зростає в 3,8 рази, а в дозі 280 мг/кг – в 7,5 рази. При застосуванні яктону в дозі 140 мг/кг ДЛ</w:t>
      </w:r>
      <w:r w:rsidRPr="00FA11F9">
        <w:rPr>
          <w:rFonts w:ascii="Times New Roman" w:hAnsi="Times New Roman"/>
          <w:sz w:val="20"/>
          <w:szCs w:val="20"/>
          <w:vertAlign w:val="subscript"/>
        </w:rPr>
        <w:t>50</w:t>
      </w:r>
      <w:r w:rsidRPr="00FA11F9">
        <w:rPr>
          <w:rFonts w:ascii="Times New Roman" w:hAnsi="Times New Roman"/>
          <w:sz w:val="20"/>
          <w:szCs w:val="20"/>
        </w:rPr>
        <w:t xml:space="preserve"> натрію фториду зростає в 4,3 рази, а в дозі 280 мг/кг – в 6,6 рази. Яктон зменшує тривалість тіопенталового сну, що зростає на фоні доксорубіцину, фторурацилу, натрію фториду. Це свідчить про наявність у яктону дезінтоксикаційних, гепатопротекторних властивостей при введенні в токсичних дозах доксорубіцину, фторурацилу, натрію фториду. Визначена кардіопротекторна активність яктону при доксорубіциновій кардіоміопатії та фторидній інтоксикації щодо показників кардіо- і системної гемодинаміки. Так, при доксорубіциновій кардіоміопатії яктон запобігає змінам САТ, РІЛШ, РУІЛШ, які порушуються при цій патології. При фторидній інтоксикації яктон має протекторну дію стосовно Рмакс., РІЛШ, РУІЛШ, СІ, СИІ, ХОК, УОК, які були змінені під впливом фторурацилу та натрію фториду.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Вперше встановлена протекторна дія яктону щодо показників NO-обміну в міокарді щурів з доксорубіциновою кардіоміопатією, інтоксикацією натрію фторидом та фторурацилом, а саме: яктон підвищує активність NO-синтази, вміст аргініну, цистеїну, метіоніну та рівень загальних відновлених сульфгідрильних груп та понижує вміст нітротирозину. Встановлено, що при доксорубіциновій кардіоміопатії яктон і мексикор, а також яктон при фторидній інтоксикації, запобігають змінам показників прооксидантно-антиоксидантної системи (маркерів окиснювального пошкодження білків, активності супероксиддисмутази, компонентів глутатіонової системи), енергетичного обміну (компонентів аденілової системи, активності креатинфосфокінази, показників гліколізу, глюконеогенезу, глікогенолізу, циклу Кребса, малат-аспартатного шунта) в міокарді щурів. Також встановлена аналогічна спрямованість дії щодо біохімічних показників метаболізму міокарду при фторидній інтоксикації. Доповнені дані щодо змін біохімічних показників прооксидантно-антиоксидантного гомеостазу та енергетичного обміну в міокарді щурів в умовах доксорубіцинової кардіоміопатії та фторидної інтоксикації.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Вперше досліджені квантово-хімічні властивості яктону, завдяки яким в молекулі визначені ділянки, що сприяють взаємодії яктону з позитивно зарядженими молекулами біологічно активних речовин та протонами.</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pacing w:val="-2"/>
          <w:sz w:val="20"/>
          <w:szCs w:val="20"/>
        </w:rPr>
        <w:t xml:space="preserve">Практичне значення отриманих результатів. </w:t>
      </w:r>
      <w:r w:rsidRPr="00FA11F9">
        <w:rPr>
          <w:rFonts w:ascii="Times New Roman" w:hAnsi="Times New Roman"/>
          <w:spacing w:val="-2"/>
          <w:sz w:val="20"/>
          <w:szCs w:val="20"/>
        </w:rPr>
        <w:t>Експериментальними</w:t>
      </w:r>
      <w:r w:rsidRPr="00FA11F9">
        <w:rPr>
          <w:rFonts w:ascii="Times New Roman" w:hAnsi="Times New Roman"/>
          <w:sz w:val="20"/>
          <w:szCs w:val="20"/>
        </w:rPr>
        <w:t xml:space="preserve"> дослідженнями патогенетично обґрунтована й доведена кардіопротекторна дія яктону порівняно з мексикором при доксорубіциновій кардіоміопатії та яктону при фторидній інтоксикації. Визначення фармакологічних і біохімічних механізмів кардіопротекторної дії яктону і мексикору є теоретичним обґрунтуванням доцільності застосування препаратів, що містять бурштинову кислоту, разом з антрацикліновими антибіотиками та антиметаболітами фторидного походження. Наявність у яктону та мексикору кардіопротекторних властивостей при застосуванні з доксорубіцином і фторурацилом є підставою для включення їх з метою захисту метаболізму міокарду до схеми лікування онкологічних та гематологічних хворих.</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pacing w:val="-2"/>
          <w:sz w:val="20"/>
          <w:szCs w:val="20"/>
        </w:rPr>
        <w:t xml:space="preserve">Впровадження результатів дослідження. </w:t>
      </w:r>
      <w:r w:rsidRPr="00FA11F9">
        <w:rPr>
          <w:rFonts w:ascii="Times New Roman" w:hAnsi="Times New Roman"/>
          <w:spacing w:val="-2"/>
          <w:sz w:val="20"/>
          <w:szCs w:val="20"/>
        </w:rPr>
        <w:t>Результати дисертаційного</w:t>
      </w:r>
      <w:r w:rsidRPr="00FA11F9">
        <w:rPr>
          <w:rFonts w:ascii="Times New Roman" w:hAnsi="Times New Roman"/>
          <w:sz w:val="20"/>
          <w:szCs w:val="20"/>
        </w:rPr>
        <w:t xml:space="preserve"> дослідження впроваджені на кафедрі фармакології Національного медичного університету імені О.О. Богомольця, на кафедрі фармакології Запорізького медичного університету, на кафедрі фармакології Вінницького національного медичного університету ім. М.І. Пирогова.</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z w:val="20"/>
          <w:szCs w:val="20"/>
        </w:rPr>
        <w:t xml:space="preserve">Особистий внесок здобувача. </w:t>
      </w:r>
      <w:r w:rsidRPr="00FA11F9">
        <w:rPr>
          <w:rFonts w:ascii="Times New Roman" w:hAnsi="Times New Roman"/>
          <w:sz w:val="20"/>
          <w:szCs w:val="20"/>
        </w:rPr>
        <w:t xml:space="preserve">Дисертаційна робота є самостійною науковою працею здобувача. Автор самостійно провела інформаційний пошук та аналіз літератури за тематикою, вибрала напрямок, об’єкт і методи дослідження. Разом з керівником сформулювала мету і завдання роботи. Здобувач брала участь в підборі тварин, формуванні у групи, введенні ЛЗ, евтаназії, підготовці та проведенні експериментів з визначення токсичності, кардіопротекторних властивостей похідних бурштинової кислоти, дослідах по встановленню біохімічних показників в міокарді. Біохімічні дослідження проводилися за сприяння кафедри фармакології та медичної рецептури Запорізького державного медичного університету (зав. каф. – проф. Белєнічев І.Ф.). Дисертант брала участь при проведенні квантово-хімічних експериментів, статистичній обробці даних.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Науковий аналіз отриманих результатів, оформлення дисертації виконані здобувачем самостійно. Автором разом із керівником сформульовані основні положення та висновки роботи. У наукових працях, що опубліковані у співавторстві, участь здобувача є визначальною.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z w:val="20"/>
          <w:szCs w:val="20"/>
        </w:rPr>
        <w:t xml:space="preserve">Апробація результатів дослідження. </w:t>
      </w:r>
      <w:r w:rsidRPr="00FA11F9">
        <w:rPr>
          <w:rFonts w:ascii="Times New Roman" w:hAnsi="Times New Roman"/>
          <w:sz w:val="20"/>
          <w:szCs w:val="20"/>
        </w:rPr>
        <w:t xml:space="preserve">Дисертаційна робота апробована на наукових конференціях та засіданнях кафедри фармакології та клінічної фармакології Національного медичного університету імені О.О. Богомольця.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Основні положення роботи та результати дисертації висвітлені на III Національному з’їзді фармакологів (м. Одеса, 2006); 60-й ювілейній науково-практичній конференції студентів та молодих учених «Актуальні проблеми сучасної медицини» (м. Київ, 2006); 61-й Міжнародній науково-практичній конференції студентів та молодих учених «Актуальні проблеми сучасної медицини» (м. Київ, 2007); VII Всеукраїнській науково-практичній конференції з міжнародною участю «Клінічна фармація в Україні» (м. Івано-Франківськ, 2007); Науково-практичній конференції, присвяченій Всесвітньому Дню Здоров’я 2008 р., Захисту здоров’я від змін клімату (м. Київ, 2008); V Всеукраїнській науково-практичній конференції з міжнародною участю з клінічної фармакології «Досягнення та перспективи клінічної фармакології» (м. Вінниця, 2008); X конгресі Світової федерації українських лікарських товариств (м. Івано-Франківськ, 2008); XVI Російському національному конгресі «Человек и лекарство» (м. Москва, 2009); Міжнародній науково-практичній конференції, присвяченій Всесвітньому Дню Здоров’я 2009 р., «Врятуємо життя. Забезпечимо безпеку лікарень у надзвичайних ситуаціях» (м. Київ, 2009); XVI Російському національному конгресі «Человек и лекарство» (м. Москва, 2010); XII конгресі Світової федерації українських лікарських товариств, 100 років Укр. лік. товариству, 1910-2010 (м. Львів, 2010); VII Всеукраїнській науково-практичній конференції з міжнародною участю з клінічної фармакології, присвяченій 90-річчю професора О.О. Столярчука «Клінічна та експериментальна фармакологія метаболітних протекторів. Органопротекція, доказова медицина» (м. Вінниця, 2010); Науково-практичній конференції «Актуальні питання безпечного застосування ліків» (м. Тернопіль, 2013); XV конгресі СФУЛТ (м. Чернівці, 2014); Науково-практичній конференції «Досягнення клінічної фармакології та фармакотерапії на шляхах доказової медицини» (м. Вінниця, 2015).</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z w:val="20"/>
          <w:szCs w:val="20"/>
        </w:rPr>
        <w:t xml:space="preserve">Публікація результатів дослідження. </w:t>
      </w:r>
      <w:r w:rsidRPr="00FA11F9">
        <w:rPr>
          <w:rFonts w:ascii="Times New Roman" w:hAnsi="Times New Roman"/>
          <w:sz w:val="20"/>
          <w:szCs w:val="20"/>
        </w:rPr>
        <w:t>Результати дисертаційного дослідження висвітлені у 25 наукових роботах, в тому числі 13 статтях у фахових журналах, з них – 3 статті одноосібні, 1 – у науко-метричному журналі, 9 – у тезах матеріалів конференцій, з’їздів, конгресів. Отримано 3 патенти на корисні моделі.</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z w:val="20"/>
          <w:szCs w:val="20"/>
        </w:rPr>
        <w:t xml:space="preserve">Обсяг і структура дисертації. </w:t>
      </w:r>
      <w:r w:rsidRPr="00FA11F9">
        <w:rPr>
          <w:rFonts w:ascii="Times New Roman" w:hAnsi="Times New Roman"/>
          <w:sz w:val="20"/>
          <w:szCs w:val="20"/>
        </w:rPr>
        <w:t>Дисертаційна робота викладена на 163 сторінках машинописного тексту, складається зі вступу, огляду літератури, розділу «Матеріали та методи дослідження», чотирьох розділів власних досліджень, розділу, присвяченого аналізу та узагальненню результатів дослідження, висновків, списку використаних літературних джерел, який включає 242 найменування (166 – кирилицею, 76 – латиницею). Дисертація містить 15 таблиць, ілюстрована 16 рисунками.</w:t>
      </w:r>
    </w:p>
    <w:p w:rsidR="00CD54E9" w:rsidRPr="00FA11F9" w:rsidRDefault="00CD54E9" w:rsidP="008E2269">
      <w:pPr>
        <w:pStyle w:val="NoSpacing"/>
        <w:spacing w:line="228" w:lineRule="auto"/>
        <w:jc w:val="center"/>
        <w:rPr>
          <w:rFonts w:ascii="Times New Roman" w:hAnsi="Times New Roman"/>
          <w:b/>
          <w:sz w:val="20"/>
          <w:szCs w:val="20"/>
        </w:rPr>
      </w:pPr>
      <w:r w:rsidRPr="00FA11F9">
        <w:rPr>
          <w:rFonts w:ascii="Times New Roman" w:hAnsi="Times New Roman"/>
          <w:b/>
          <w:sz w:val="20"/>
          <w:szCs w:val="20"/>
        </w:rPr>
        <w:t>ОСНОВНИЙ ЗМІСТ РОБОТИ</w:t>
      </w:r>
    </w:p>
    <w:p w:rsidR="00CD54E9" w:rsidRPr="00FA11F9" w:rsidRDefault="00CD54E9" w:rsidP="008E2269">
      <w:pPr>
        <w:pStyle w:val="NoSpacing"/>
        <w:spacing w:line="228" w:lineRule="auto"/>
        <w:ind w:firstLine="567"/>
        <w:rPr>
          <w:rFonts w:ascii="Times New Roman" w:hAnsi="Times New Roman"/>
          <w:b/>
          <w:sz w:val="20"/>
          <w:szCs w:val="20"/>
        </w:rPr>
      </w:pP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b/>
          <w:sz w:val="20"/>
          <w:szCs w:val="20"/>
        </w:rPr>
        <w:t xml:space="preserve">Матеріали та методи дослідження. </w:t>
      </w:r>
      <w:r w:rsidRPr="00FA11F9">
        <w:rPr>
          <w:rFonts w:ascii="Times New Roman" w:hAnsi="Times New Roman"/>
          <w:sz w:val="20"/>
          <w:szCs w:val="20"/>
        </w:rPr>
        <w:t>Експериментальні дослідження здійснені на 64 безпородних білих мишах обох статей масою 18-22 г, на 238 білих щурах лінії Вістар, з яких 49 тварин були інтактними, інші 189 – з доксорубіциновою кардіоміопатією та фторидною інтоксикацією, масою 180-200 г і на 63 кролях породи Шиншила масою 1,5-3 кг, отриманих з віварію Національного медичного університету імені О.О. Богомольця, м. Київ.</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Дослідження гострої токсичності доксорубіцину, натрію фториду на мишах за внутрішньоочеревинного введення проводили за методом В.Б. Прозоровського згідно з методичними рекомендаціями ДЕЦ МОЗ України [Стефанов А.В., 2002]; препарати попередньо розчиняли у воді для ін’єкцій. Для дослідження протекторної дії яктону його вводили мишам дозами 140 мг/кг, 240 мг/кг внутрішньоочеревинно.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Для визначення детоксикуючої функції печінки доксорубіцин вводили щурам внутрішньоочеревинно в дозі 30 мг/кг, фторурацил – 180 мг/кг, натрію фторид – 10 мг/кг – за годину до тіопенталу натрію дозою 80 мг/кг. Яктон вводили внутрішньошлунково дозою 357 мг/кг за 1 годину до токсикантів.</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Вплив яктону на показники кардіо- та системної гемодинаміки визначали за рекомендаціями Державного фармакологічного центру МОЗ України [Стефанов А.В., 2002]. Експериментальні дослідження виконували на кролях породи Шиншила масою 2,5-3,3 кг. У гострому експерименті (наркоз – уретан 1 г/кг) після катетеризації лівого шлуночка серця (ЛШС) реєстрували головні параметри кардіо- та системної гемодинаміки [Чекман І.С., 2009] – максимальний тиск лівого шлуночка (Р max.), системний артеріальний тиск (САТ), частоту серцевих скорочень (ЧСС).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Усі показники реєстрували на приладі НР VIRIKUA component Monitoring System (Hewlet Packard, Німеччина), також розраховували серцевий індекс (СІ, мл/м</w:t>
      </w:r>
      <w:r w:rsidRPr="00FA11F9">
        <w:rPr>
          <w:rFonts w:ascii="Times New Roman" w:hAnsi="Times New Roman"/>
          <w:sz w:val="20"/>
          <w:szCs w:val="20"/>
          <w:vertAlign w:val="superscript"/>
        </w:rPr>
        <w:t>2</w:t>
      </w:r>
      <w:r w:rsidRPr="00FA11F9">
        <w:rPr>
          <w:rFonts w:ascii="Times New Roman" w:hAnsi="Times New Roman"/>
          <w:sz w:val="20"/>
          <w:szCs w:val="20"/>
        </w:rPr>
        <w:t>/хв), систолічний індекс (СиІ, мл/м</w:t>
      </w:r>
      <w:r w:rsidRPr="00FA11F9">
        <w:rPr>
          <w:rFonts w:ascii="Times New Roman" w:hAnsi="Times New Roman"/>
          <w:sz w:val="20"/>
          <w:szCs w:val="20"/>
          <w:vertAlign w:val="superscript"/>
        </w:rPr>
        <w:t>2</w:t>
      </w:r>
      <w:r w:rsidRPr="00FA11F9">
        <w:rPr>
          <w:rFonts w:ascii="Times New Roman" w:hAnsi="Times New Roman"/>
          <w:sz w:val="20"/>
          <w:szCs w:val="20"/>
        </w:rPr>
        <w:t>/хв), робочий ударний індекс лівого шлуночка (РІЛШ, кгм/м</w:t>
      </w:r>
      <w:r w:rsidRPr="00FA11F9">
        <w:rPr>
          <w:rFonts w:ascii="Times New Roman" w:hAnsi="Times New Roman"/>
          <w:sz w:val="20"/>
          <w:szCs w:val="20"/>
          <w:vertAlign w:val="superscript"/>
        </w:rPr>
        <w:t>2</w:t>
      </w:r>
      <w:r w:rsidRPr="00FA11F9">
        <w:rPr>
          <w:rFonts w:ascii="Times New Roman" w:hAnsi="Times New Roman"/>
          <w:sz w:val="20"/>
          <w:szCs w:val="20"/>
        </w:rPr>
        <w:t>/хв), дебіт серця (Д, мл/с), ударний об’єм крові (УОК, мл), хвилинний об’єм крові (ХОК, мл/хв), загальний периферичний опір (ЗПО, дм/см</w:t>
      </w:r>
      <w:r w:rsidRPr="00FA11F9">
        <w:rPr>
          <w:rFonts w:ascii="Times New Roman" w:hAnsi="Times New Roman"/>
          <w:sz w:val="20"/>
          <w:szCs w:val="20"/>
          <w:vertAlign w:val="superscript"/>
        </w:rPr>
        <w:t>2</w:t>
      </w:r>
      <w:r w:rsidRPr="00FA11F9">
        <w:rPr>
          <w:rFonts w:ascii="Times New Roman" w:hAnsi="Times New Roman"/>
          <w:sz w:val="20"/>
          <w:szCs w:val="20"/>
        </w:rPr>
        <w:t xml:space="preserve">).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Доксорубіцинову кардіоміопатію моделювали на кролях за умови внутрішньовенного введення доксорубіцину-КМП протягом 5 тижнів дозою 5 мг/кг. Перед введенням доксорубіцину за 1 годину внутрішньо</w:t>
      </w:r>
      <w:r w:rsidRPr="00FA11F9">
        <w:rPr>
          <w:rFonts w:ascii="Times New Roman" w:hAnsi="Times New Roman"/>
          <w:sz w:val="20"/>
          <w:szCs w:val="20"/>
        </w:rPr>
        <w:softHyphen/>
        <w:t>венно вводили яктон дозою 560 мг/кг.</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Фторидну інтоксикацію спричинювали одноразовим внутрішньо</w:t>
      </w:r>
      <w:r w:rsidRPr="00FA11F9">
        <w:rPr>
          <w:rFonts w:ascii="Times New Roman" w:hAnsi="Times New Roman"/>
          <w:sz w:val="20"/>
          <w:szCs w:val="20"/>
        </w:rPr>
        <w:softHyphen/>
        <w:t xml:space="preserve">венним введенням натрію фториду дозою 20 мг/кг кролям за експозиції 40 хв. Перед введенням натрію фториду за 1 годину внутрішньовенно вводили яктон дозою 560 мг/кг. </w:t>
      </w: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Дослідження проводили із моделюванням доксорубіцинової кардіоміопатії на щурах, яку зумовлювали внутрішньоочеревинним введенням доксорубіцину протягом 4 тижнів дозою 5 мг/кг 1 раз на добу [Трофімова Т.С., 2004]. Фторидну інтоксикацію відтворювали внутрішньоочеревинним введенням фторурацилу дозою 180 мг/кг [Arellano M., 1998]. Натрію фторид вводили внутрішньоочеревинно дозою 10 мг/кг [Чекман И.С., 2007]. Яктон вводили дозою 357 мг/кг упродовж 4 тижнів за годину до доксорубіцину [Яковлєва І.Ю., 2009]. 30 мг/кг мексикору тварини отримували за тією самою схемою [Коровкин М.В., 2012]. Дози лікарських засобів визначали застосуванням даних препаратів в експериментальних дослідженнях: доза яктону для щурів становила 357 мг/кг, для мишей – 140 мг/кг, 280 мг/кг. Доза яктону в експериментах на кролях дорівнювала 560 мг/кг і була розрахована за методичними рекомендаціями ДЕЦ МОЗ України з урахуванням видової чутливості [Яковлєва І.Ю., 2009], а мексикору – 50 мг/кг [Коровкин М.В., 2012]. </w:t>
      </w:r>
    </w:p>
    <w:p w:rsidR="00CD54E9" w:rsidRPr="00FA11F9" w:rsidRDefault="00CD54E9" w:rsidP="008E2269">
      <w:pPr>
        <w:spacing w:after="0" w:line="228" w:lineRule="auto"/>
        <w:ind w:firstLine="567"/>
        <w:jc w:val="both"/>
        <w:rPr>
          <w:sz w:val="20"/>
          <w:szCs w:val="20"/>
        </w:rPr>
      </w:pPr>
      <w:r w:rsidRPr="00FA11F9">
        <w:rPr>
          <w:sz w:val="20"/>
          <w:szCs w:val="20"/>
        </w:rPr>
        <w:t>Для біохімічних методів дослідження тканини серця гомогенізували на холоді, в сольовому ізотонічному середовищі (0,15 МKCl) при температурі +4°С за допомогою скляного гомогенізатора, у співвідношенні тканина-сольовий розчин 1:40. Безбілковий екстракт отримували додаванням гомогенази тканини серця в хлоридну кислоту (0,6 М) з подальшою нейтралізацією 5,0 М калію карбонатом. Мітохондріальну фракцію виділяли методом диференційного центрифугування в рефрижераторній центрифузі Sigma (Німеччина) в 10-разовому об’ємі середовища [Чекман И.С., 2010].</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 xml:space="preserve">Вміст глюкозо-6-фосфат визначали ензиматичним методом, кількість глікогену встановлювали в осаді тканин міокарда колориметрично-антроновим методом [Прохорова М.И., 1982]. СОД у цитозольній фракції досліджували за реакцією відновлення нітротетразолію синього за наявності феназинметасульфату. Активність СОД визначали в у.о./мг білка/хв [Чевари С. и соавт., 1988; Somogyi A., 2001]. Глутатіон відновлений встановлювали за методом, заснованим на взаємодії ортофталієвого ангідриду з відновленим глутатіоном, унаслідок чого утворюється флюоресціюючий комплекс, який реєструється флюорометрично при Ex/Em=340/420 нм. Глутатіон розраховували за калібрувальною кривою [Беленичев И.Ф., 2009]. Визначення активності ГР грунтується на вимірі швидкості окиснення NADPH, яка реєструється спектрофотометрично за зменшенням оптичної щільності з довжиною хвилі 340 нм. Маркери окисного пошкодження білків кардіоміоцитів – альдегідфенілгідразону (АФГ) і кетонфенілгідразону (КФГ) виявляли за методом Halliwell B. (1999). Вміст лактату та малату визначали за методом Хохорста, </w:t>
      </w:r>
      <w:r w:rsidRPr="00FA11F9">
        <w:rPr>
          <w:bCs/>
          <w:sz w:val="20"/>
          <w:szCs w:val="20"/>
        </w:rPr>
        <w:t>пірувату – за методом Цоха-Лампрехта, ізоцитрату в тканинах – за методом Зіберта [</w:t>
      </w:r>
      <w:r w:rsidRPr="00FA11F9">
        <w:rPr>
          <w:sz w:val="20"/>
          <w:szCs w:val="20"/>
        </w:rPr>
        <w:t>Чекман И.С. и соавт., 2010</w:t>
      </w:r>
      <w:r w:rsidRPr="00FA11F9">
        <w:rPr>
          <w:bCs/>
          <w:sz w:val="20"/>
          <w:szCs w:val="20"/>
        </w:rPr>
        <w:t>]. Активність цитохром-С-оксидази встановлювали спектрофотометрично на підставі інтенсивності окиснення відновленого цитохрому ферментом, який міститься в розчині. [Прохорова М.И., 1982]. Визначали активність малатдегідрогенази, в якій кількість окисненого малату еквімолярна кількості відновленого піридин нуклеотиду [Прохорова М.И., 1982]. Загальна активність NO-синтази визначається флюорометричним методом [</w:t>
      </w:r>
      <w:r w:rsidRPr="00FA11F9">
        <w:rPr>
          <w:sz w:val="20"/>
          <w:szCs w:val="20"/>
        </w:rPr>
        <w:t>Чекман И.С. и соавт., 2010</w:t>
      </w:r>
      <w:r w:rsidRPr="00FA11F9">
        <w:rPr>
          <w:bCs/>
          <w:sz w:val="20"/>
          <w:szCs w:val="20"/>
        </w:rPr>
        <w:t>]. Нітротирозин встановлювали в гомогенаті серця твердофазним імуносорбентним методом за набором фірми ELISA та виражали в нм/г тканини [Halliwell B., 1985]. Стабільні метаболіти оксиду азоту вимірювали колориметричним методом після взаємодії з реактивом Гриссу [</w:t>
      </w:r>
      <w:r w:rsidRPr="00FA11F9">
        <w:rPr>
          <w:sz w:val="20"/>
          <w:szCs w:val="20"/>
        </w:rPr>
        <w:t>Чекман И.С., 2010</w:t>
      </w:r>
      <w:r w:rsidRPr="00FA11F9">
        <w:rPr>
          <w:bCs/>
          <w:sz w:val="20"/>
          <w:szCs w:val="20"/>
        </w:rPr>
        <w:t xml:space="preserve">]. Концентрації аргініну, аспартату, метіоніну, цистеїну та глутатіону визначали методом тонкошарової хроматографії з подальшою спектрофотометрією елюату [Прохорова М.И., 1982]. Вміст сумарних SH груп встановлювали з 5,5-дитіобіс-7-нітробензойною кислотою. Концентрацію білка оцінювали за методом Бредфорда [Прохорова М.И., 1982], надалі розраховували коефіцієнти білок/сечовина. Вміст аденілових нуклеотидів ідентифікували тонкошаровою хроматографією з подальшою спектрофотометрією, активність креатинфосфокінази – </w:t>
      </w:r>
      <w:r w:rsidRPr="00FA11F9">
        <w:rPr>
          <w:sz w:val="20"/>
          <w:szCs w:val="20"/>
        </w:rPr>
        <w:t xml:space="preserve">фотоколориметричним методом за збільшенням кількості креатину </w:t>
      </w:r>
      <w:r w:rsidRPr="00FA11F9">
        <w:rPr>
          <w:bCs/>
          <w:sz w:val="20"/>
          <w:szCs w:val="20"/>
        </w:rPr>
        <w:t>[</w:t>
      </w:r>
      <w:r w:rsidRPr="00FA11F9">
        <w:rPr>
          <w:sz w:val="20"/>
          <w:szCs w:val="20"/>
        </w:rPr>
        <w:t>Чекман И.С. и соавт., 2010</w:t>
      </w:r>
      <w:r w:rsidRPr="00FA11F9">
        <w:rPr>
          <w:bCs/>
          <w:sz w:val="20"/>
          <w:szCs w:val="20"/>
        </w:rPr>
        <w:t xml:space="preserve">]. </w:t>
      </w:r>
      <w:r w:rsidRPr="00FA11F9">
        <w:rPr>
          <w:sz w:val="20"/>
          <w:szCs w:val="20"/>
        </w:rPr>
        <w:t xml:space="preserve">Дослідження функціональної активності мітохондрій проводили </w:t>
      </w:r>
      <w:r w:rsidRPr="00FA11F9">
        <w:rPr>
          <w:i/>
          <w:sz w:val="20"/>
          <w:szCs w:val="20"/>
        </w:rPr>
        <w:t xml:space="preserve">in vitro </w:t>
      </w:r>
      <w:r w:rsidRPr="00FA11F9">
        <w:rPr>
          <w:sz w:val="20"/>
          <w:szCs w:val="20"/>
        </w:rPr>
        <w:t xml:space="preserve">після виділення мітохондріальної фракції та визначали методом диференційного центрифугування, утворення мітохондріальної пори – спектрофотометрично за зниженням світлопоглинання при 540 нм, потенціал внутрішньої мембрани мітохондрій – за зміною флуоресценції сафроніну-О [Яковлєва І.Ю., 2013]. </w:t>
      </w:r>
      <w:r w:rsidRPr="00FA11F9">
        <w:rPr>
          <w:bCs/>
          <w:sz w:val="20"/>
          <w:szCs w:val="20"/>
        </w:rPr>
        <w:t>Квантово-фармакологічні дослідження диметиламіноетилового ефіру янтарної кислоти (ДМЕБК) і його протонованої форми (ПДМБК) здійснені за допомогою програм Mopac і HyperChem 7.0 [Апостолова Е.С., 1999; Флениген М., 1980]. Проведено геометричну оптимізацію ДМЕБК та ПДМБК послідовно методом молекулярної механіки ММ+, напівемпіричним методом PM3</w:t>
      </w:r>
      <w:r w:rsidRPr="00FA11F9">
        <w:rPr>
          <w:sz w:val="20"/>
          <w:szCs w:val="20"/>
        </w:rPr>
        <w:t>і, методом abinitio 6-31G* [Соловьев М.Е., 2005]</w:t>
      </w:r>
      <w:r w:rsidRPr="00FA11F9">
        <w:rPr>
          <w:bCs/>
          <w:sz w:val="20"/>
          <w:szCs w:val="20"/>
        </w:rPr>
        <w:t>. Для всіх досліджень використано алгоритм Рібера–Полака</w:t>
      </w:r>
      <w:r w:rsidRPr="00FA11F9">
        <w:rPr>
          <w:sz w:val="20"/>
          <w:szCs w:val="20"/>
        </w:rPr>
        <w:t xml:space="preserve">. </w:t>
      </w:r>
    </w:p>
    <w:p w:rsidR="00CD54E9" w:rsidRPr="00FA11F9" w:rsidRDefault="00CD54E9" w:rsidP="008E2269">
      <w:pPr>
        <w:tabs>
          <w:tab w:val="left" w:pos="851"/>
        </w:tabs>
        <w:spacing w:after="0" w:line="228" w:lineRule="auto"/>
        <w:ind w:firstLine="567"/>
        <w:jc w:val="both"/>
        <w:rPr>
          <w:bCs/>
          <w:sz w:val="20"/>
          <w:szCs w:val="20"/>
        </w:rPr>
      </w:pPr>
      <w:r w:rsidRPr="00FA11F9">
        <w:rPr>
          <w:sz w:val="20"/>
          <w:szCs w:val="20"/>
        </w:rPr>
        <w:t xml:space="preserve">Усі статистичні розрахунки проводили за допомогою спеціалізованої програми «BioStat 2009». Отримані результати оцінювали на підставі статистичної обробки методом варіаційної статистики [Лапач С.Н., 2002; Тавинцев В.Д., 1999]. Вірогідність різниці між досліджуваними показниками визначали за критерієм t Стьюдента. Проводився тест на нормальність розподілу Шапіро–Уїлка. Порівняння для непарних вимірювань проводили з використанням U-тесту Манна–Уїтні. Різницю між показниками вважали статистично вірогідною при </w:t>
      </w:r>
      <w:r w:rsidRPr="00FA11F9">
        <w:rPr>
          <w:i/>
          <w:sz w:val="20"/>
          <w:szCs w:val="20"/>
        </w:rPr>
        <w:t>р</w:t>
      </w:r>
      <w:r w:rsidRPr="00FA11F9">
        <w:rPr>
          <w:i/>
          <w:sz w:val="20"/>
          <w:szCs w:val="20"/>
        </w:rPr>
        <w:sym w:font="Symbol" w:char="F0A3"/>
      </w:r>
      <w:r w:rsidRPr="00FA11F9">
        <w:rPr>
          <w:i/>
          <w:sz w:val="20"/>
          <w:szCs w:val="20"/>
        </w:rPr>
        <w:t>0,05</w:t>
      </w:r>
      <w:r w:rsidRPr="00FA11F9">
        <w:rPr>
          <w:sz w:val="20"/>
          <w:szCs w:val="20"/>
        </w:rPr>
        <w:t>.</w:t>
      </w:r>
    </w:p>
    <w:p w:rsidR="00CD54E9" w:rsidRPr="00FA11F9" w:rsidRDefault="00CD54E9" w:rsidP="008E2269">
      <w:pPr>
        <w:tabs>
          <w:tab w:val="left" w:pos="851"/>
        </w:tabs>
        <w:spacing w:after="0" w:line="228" w:lineRule="auto"/>
        <w:ind w:firstLine="567"/>
        <w:jc w:val="both"/>
        <w:rPr>
          <w:sz w:val="20"/>
          <w:szCs w:val="20"/>
        </w:rPr>
      </w:pPr>
      <w:r w:rsidRPr="00FA11F9">
        <w:rPr>
          <w:b/>
          <w:sz w:val="20"/>
          <w:szCs w:val="20"/>
        </w:rPr>
        <w:t xml:space="preserve">Результати досліджень та їх обговорення. </w:t>
      </w:r>
      <w:r w:rsidRPr="00FA11F9">
        <w:rPr>
          <w:sz w:val="20"/>
          <w:szCs w:val="20"/>
        </w:rPr>
        <w:t>Спочатку визначали протекторний вплив яктону за гострої інтоксикації доксорубіцином, натрію фторидом, які можуть спричинити гістотоксичну гіпоксію. Яктон вводили дозами 140 мг/кг і 240 мг/кг. На фоні доксорубіцину та натрію фториду яктон мав протекторний вплив, підвищував дозозалежність від ДЛ</w:t>
      </w:r>
      <w:r w:rsidRPr="00FA11F9">
        <w:rPr>
          <w:sz w:val="20"/>
          <w:szCs w:val="20"/>
          <w:vertAlign w:val="subscript"/>
        </w:rPr>
        <w:t>50</w:t>
      </w:r>
      <w:r w:rsidRPr="00FA11F9">
        <w:rPr>
          <w:sz w:val="20"/>
          <w:szCs w:val="20"/>
        </w:rPr>
        <w:t xml:space="preserve"> як доксорубіцину, так і натрію фториду. Надалі визначали вплив яктону на тривалість тіопенталового сну щурів, яким вводили доксорубіцин, фторурацил і натрію фторид. У разі токсичної дози доксорубіцину тривалість сну зростає у 2,9 рази. На тлі фторурацилу тривалість сну підвищується в 3,8, а натрію фториду – в 2,9 рази. Яктон скорочував тривалість тіопенталового сну на фоні доксорубіцину на 31%, на фоні фторурацилу – на 25,9%, натрію фториду – на 39,9%. Результати підтверджують наявність у яктону дезінтоксикаційних, гепатопротекторних властивостей за умови введення в токсичних дозах доксорубіцину, фторурацилу, натрію фториду. </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 xml:space="preserve">У разі доксорубіцинової кардіоміопатії, яку моделювали в кролів, змінюються показники кардіо- і системної гемодинаміки, що характеризують скоротливу активність міокарда: знижуються максимальний тиск лівого шлуночка – на 19,9%, системний артеріальний тиск – на 17,5%, робочий індекс лівого шлуночка – на 28,8%, робочий ударний індекс лівого шлуночка – на 20,2%. Яктон за попереднього введення дозою 560 мг/кг реалізує кардіопротекторну дію в разі доксорубіцинової кардіоміопатії стосовно зазначених показників скоротливої активності міокарда (Рмакс, САТ, РІЛШ, РУІЛШ). Яктон підвищує значення максимального тиску лівого шлуночка на 32,4%, системного артеріального тиску – на 26,1%, робочого індексу лівого шлуночка – на 37%, робочого ударного індексу лівого шлуночка – на 12,2% (табл. 1). </w:t>
      </w:r>
    </w:p>
    <w:p w:rsidR="00CD54E9" w:rsidRPr="008E2269" w:rsidRDefault="00CD54E9" w:rsidP="008E2269">
      <w:pPr>
        <w:tabs>
          <w:tab w:val="left" w:pos="851"/>
        </w:tabs>
        <w:spacing w:after="0" w:line="228" w:lineRule="auto"/>
        <w:ind w:firstLine="567"/>
        <w:jc w:val="both"/>
        <w:rPr>
          <w:sz w:val="20"/>
          <w:szCs w:val="20"/>
          <w:lang w:val="ru-RU"/>
        </w:rPr>
      </w:pPr>
    </w:p>
    <w:p w:rsidR="00CD54E9" w:rsidRPr="00FA11F9" w:rsidRDefault="00CD54E9" w:rsidP="008E2269">
      <w:pPr>
        <w:pStyle w:val="NoSpacing"/>
        <w:spacing w:line="228" w:lineRule="auto"/>
        <w:ind w:firstLine="567"/>
        <w:jc w:val="right"/>
        <w:rPr>
          <w:rFonts w:ascii="Times New Roman" w:hAnsi="Times New Roman"/>
          <w:sz w:val="20"/>
          <w:szCs w:val="20"/>
        </w:rPr>
      </w:pPr>
      <w:r w:rsidRPr="00FA11F9">
        <w:rPr>
          <w:rFonts w:ascii="Times New Roman" w:hAnsi="Times New Roman"/>
          <w:sz w:val="20"/>
          <w:szCs w:val="20"/>
        </w:rPr>
        <w:t>Таблиця 1</w:t>
      </w:r>
    </w:p>
    <w:p w:rsidR="00CD54E9" w:rsidRPr="008E2269" w:rsidRDefault="00CD54E9" w:rsidP="008E2269">
      <w:pPr>
        <w:pStyle w:val="NoSpacing"/>
        <w:spacing w:line="228" w:lineRule="auto"/>
        <w:jc w:val="center"/>
        <w:rPr>
          <w:rFonts w:ascii="Times New Roman" w:hAnsi="Times New Roman"/>
          <w:b/>
          <w:sz w:val="20"/>
          <w:szCs w:val="20"/>
          <w:lang w:val="ru-RU"/>
        </w:rPr>
      </w:pPr>
      <w:r w:rsidRPr="00FA11F9">
        <w:rPr>
          <w:rFonts w:ascii="Times New Roman" w:hAnsi="Times New Roman"/>
          <w:b/>
          <w:sz w:val="20"/>
          <w:szCs w:val="20"/>
        </w:rPr>
        <w:t xml:space="preserve">Вплив яктону на показники кардіо- і системної гемодинаміки кролів при доксорубіциновій інтоксикації </w:t>
      </w:r>
      <w:r w:rsidRPr="00FA11F9">
        <w:rPr>
          <w:rFonts w:ascii="Times New Roman" w:hAnsi="Times New Roman"/>
          <w:b/>
          <w:sz w:val="20"/>
          <w:szCs w:val="20"/>
        </w:rPr>
        <w:br/>
        <w:t>(М±m)</w:t>
      </w:r>
    </w:p>
    <w:p w:rsidR="00CD54E9" w:rsidRPr="008E2269" w:rsidRDefault="00CD54E9" w:rsidP="008E2269">
      <w:pPr>
        <w:pStyle w:val="NoSpacing"/>
        <w:spacing w:line="228" w:lineRule="auto"/>
        <w:jc w:val="center"/>
        <w:rPr>
          <w:rFonts w:ascii="Times New Roman" w:hAnsi="Times New Roman"/>
          <w:sz w:val="20"/>
          <w:szCs w:val="20"/>
          <w:lang w:val="ru-RU"/>
        </w:rPr>
      </w:pPr>
    </w:p>
    <w:tbl>
      <w:tblPr>
        <w:tblW w:w="6662"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51"/>
        <w:gridCol w:w="474"/>
        <w:gridCol w:w="509"/>
        <w:gridCol w:w="617"/>
        <w:gridCol w:w="541"/>
        <w:gridCol w:w="541"/>
        <w:gridCol w:w="488"/>
        <w:gridCol w:w="490"/>
        <w:gridCol w:w="695"/>
        <w:gridCol w:w="589"/>
        <w:gridCol w:w="689"/>
        <w:gridCol w:w="378"/>
      </w:tblGrid>
      <w:tr w:rsidR="00CD54E9" w:rsidRPr="00FA11F9" w:rsidTr="00D407C3">
        <w:trPr>
          <w:trHeight w:val="170"/>
          <w:jc w:val="center"/>
        </w:trPr>
        <w:tc>
          <w:tcPr>
            <w:tcW w:w="65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Групи тварин</w:t>
            </w:r>
          </w:p>
        </w:tc>
        <w:tc>
          <w:tcPr>
            <w:tcW w:w="474"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ЧСС, уд./хв</w:t>
            </w:r>
          </w:p>
        </w:tc>
        <w:tc>
          <w:tcPr>
            <w:tcW w:w="50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 xml:space="preserve">P </w:t>
            </w:r>
            <w:r w:rsidRPr="00D407C3">
              <w:rPr>
                <w:spacing w:val="-2"/>
                <w:sz w:val="17"/>
                <w:szCs w:val="17"/>
                <w:vertAlign w:val="subscript"/>
              </w:rPr>
              <w:t>макс.,</w:t>
            </w:r>
            <w:r w:rsidRPr="00D407C3">
              <w:rPr>
                <w:spacing w:val="-2"/>
                <w:sz w:val="17"/>
                <w:szCs w:val="17"/>
              </w:rPr>
              <w:t xml:space="preserve"> мм рт.ст.</w:t>
            </w:r>
          </w:p>
        </w:tc>
        <w:tc>
          <w:tcPr>
            <w:tcW w:w="617"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САТ, мм рт.ст.</w:t>
            </w:r>
          </w:p>
        </w:tc>
        <w:tc>
          <w:tcPr>
            <w:tcW w:w="54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ХОК, мл/хв</w:t>
            </w:r>
          </w:p>
        </w:tc>
        <w:tc>
          <w:tcPr>
            <w:tcW w:w="54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СІ, мл/м</w:t>
            </w:r>
            <w:r w:rsidRPr="00D407C3">
              <w:rPr>
                <w:spacing w:val="-2"/>
                <w:sz w:val="17"/>
                <w:szCs w:val="17"/>
                <w:vertAlign w:val="superscript"/>
              </w:rPr>
              <w:t>2</w:t>
            </w:r>
            <w:r w:rsidRPr="00D407C3">
              <w:rPr>
                <w:spacing w:val="-2"/>
                <w:sz w:val="17"/>
                <w:szCs w:val="17"/>
              </w:rPr>
              <w:t>/хв</w:t>
            </w:r>
          </w:p>
        </w:tc>
        <w:tc>
          <w:tcPr>
            <w:tcW w:w="488"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УОК, мл</w:t>
            </w:r>
          </w:p>
        </w:tc>
        <w:tc>
          <w:tcPr>
            <w:tcW w:w="490"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СиІ, мл/м</w:t>
            </w:r>
            <w:r w:rsidRPr="00D407C3">
              <w:rPr>
                <w:spacing w:val="-2"/>
                <w:sz w:val="17"/>
                <w:szCs w:val="17"/>
                <w:vertAlign w:val="superscript"/>
              </w:rPr>
              <w:t>2</w:t>
            </w:r>
          </w:p>
        </w:tc>
        <w:tc>
          <w:tcPr>
            <w:tcW w:w="695"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ЗПО, дин/с/ см</w:t>
            </w:r>
            <w:r w:rsidRPr="00D407C3">
              <w:rPr>
                <w:spacing w:val="-2"/>
                <w:sz w:val="17"/>
                <w:szCs w:val="17"/>
                <w:vertAlign w:val="superscript"/>
              </w:rPr>
              <w:t>-5</w:t>
            </w:r>
          </w:p>
        </w:tc>
        <w:tc>
          <w:tcPr>
            <w:tcW w:w="58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РІЛШ, кгм/м</w:t>
            </w:r>
            <w:r w:rsidRPr="00D407C3">
              <w:rPr>
                <w:spacing w:val="-2"/>
                <w:sz w:val="17"/>
                <w:szCs w:val="17"/>
                <w:vertAlign w:val="superscript"/>
              </w:rPr>
              <w:t>2</w:t>
            </w:r>
            <w:r w:rsidRPr="00D407C3">
              <w:rPr>
                <w:spacing w:val="-2"/>
                <w:sz w:val="17"/>
                <w:szCs w:val="17"/>
              </w:rPr>
              <w:t>/хв</w:t>
            </w:r>
          </w:p>
        </w:tc>
        <w:tc>
          <w:tcPr>
            <w:tcW w:w="68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РУІЛШ, кгм/м</w:t>
            </w:r>
            <w:r w:rsidRPr="00D407C3">
              <w:rPr>
                <w:spacing w:val="-2"/>
                <w:sz w:val="17"/>
                <w:szCs w:val="17"/>
                <w:vertAlign w:val="superscript"/>
              </w:rPr>
              <w:t>2</w:t>
            </w:r>
            <w:r w:rsidRPr="00D407C3">
              <w:rPr>
                <w:spacing w:val="-2"/>
                <w:sz w:val="17"/>
                <w:szCs w:val="17"/>
              </w:rPr>
              <w:t>/ хв</w:t>
            </w:r>
          </w:p>
        </w:tc>
        <w:tc>
          <w:tcPr>
            <w:tcW w:w="378"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Д, мл/с</w:t>
            </w:r>
          </w:p>
        </w:tc>
      </w:tr>
      <w:tr w:rsidR="00CD54E9" w:rsidRPr="00FA11F9" w:rsidTr="00D407C3">
        <w:trPr>
          <w:trHeight w:val="170"/>
          <w:jc w:val="center"/>
        </w:trPr>
        <w:tc>
          <w:tcPr>
            <w:tcW w:w="65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Інтактні (n=12)</w:t>
            </w:r>
          </w:p>
        </w:tc>
        <w:tc>
          <w:tcPr>
            <w:tcW w:w="474"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278</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6,0</w:t>
            </w:r>
          </w:p>
        </w:tc>
        <w:tc>
          <w:tcPr>
            <w:tcW w:w="50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156,5</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10,5</w:t>
            </w:r>
          </w:p>
        </w:tc>
        <w:tc>
          <w:tcPr>
            <w:tcW w:w="617"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137,2</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8,4</w:t>
            </w:r>
          </w:p>
        </w:tc>
        <w:tc>
          <w:tcPr>
            <w:tcW w:w="54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1114,8</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67,1</w:t>
            </w:r>
          </w:p>
        </w:tc>
        <w:tc>
          <w:tcPr>
            <w:tcW w:w="54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3915,1</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260</w:t>
            </w:r>
          </w:p>
        </w:tc>
        <w:tc>
          <w:tcPr>
            <w:tcW w:w="488"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4,1</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0,23</w:t>
            </w:r>
          </w:p>
        </w:tc>
        <w:tc>
          <w:tcPr>
            <w:tcW w:w="490"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14,1</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0,95</w:t>
            </w:r>
          </w:p>
        </w:tc>
        <w:tc>
          <w:tcPr>
            <w:tcW w:w="695"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10192,4</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782</w:t>
            </w:r>
          </w:p>
        </w:tc>
        <w:tc>
          <w:tcPr>
            <w:tcW w:w="58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7202,3</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654</w:t>
            </w:r>
          </w:p>
        </w:tc>
        <w:tc>
          <w:tcPr>
            <w:tcW w:w="68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24,7</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2,2</w:t>
            </w:r>
          </w:p>
        </w:tc>
        <w:tc>
          <w:tcPr>
            <w:tcW w:w="378"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18,5</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1,2</w:t>
            </w:r>
          </w:p>
        </w:tc>
      </w:tr>
      <w:tr w:rsidR="00CD54E9" w:rsidRPr="00FA11F9" w:rsidTr="00D407C3">
        <w:trPr>
          <w:trHeight w:val="170"/>
          <w:jc w:val="center"/>
        </w:trPr>
        <w:tc>
          <w:tcPr>
            <w:tcW w:w="65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ДОК (n=7)</w:t>
            </w:r>
          </w:p>
        </w:tc>
        <w:tc>
          <w:tcPr>
            <w:tcW w:w="474"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270</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11,1</w:t>
            </w:r>
          </w:p>
        </w:tc>
        <w:tc>
          <w:tcPr>
            <w:tcW w:w="50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125,2</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9,2*</w:t>
            </w:r>
          </w:p>
        </w:tc>
        <w:tc>
          <w:tcPr>
            <w:tcW w:w="617"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113,1</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10,5*</w:t>
            </w:r>
          </w:p>
        </w:tc>
        <w:tc>
          <w:tcPr>
            <w:tcW w:w="54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997,2</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88,4</w:t>
            </w:r>
          </w:p>
        </w:tc>
        <w:tc>
          <w:tcPr>
            <w:tcW w:w="54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3532</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318,1</w:t>
            </w:r>
          </w:p>
        </w:tc>
        <w:tc>
          <w:tcPr>
            <w:tcW w:w="488"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3,5</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0,37</w:t>
            </w:r>
          </w:p>
        </w:tc>
        <w:tc>
          <w:tcPr>
            <w:tcW w:w="490"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11,1</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1,2</w:t>
            </w:r>
          </w:p>
        </w:tc>
        <w:tc>
          <w:tcPr>
            <w:tcW w:w="695"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9013,4</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1022</w:t>
            </w:r>
          </w:p>
        </w:tc>
        <w:tc>
          <w:tcPr>
            <w:tcW w:w="58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5125,1</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623,1*</w:t>
            </w:r>
          </w:p>
        </w:tc>
        <w:tc>
          <w:tcPr>
            <w:tcW w:w="68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19,7</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2,2*</w:t>
            </w:r>
          </w:p>
        </w:tc>
        <w:tc>
          <w:tcPr>
            <w:tcW w:w="378"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16,5</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1,6</w:t>
            </w:r>
          </w:p>
        </w:tc>
      </w:tr>
      <w:tr w:rsidR="00CD54E9" w:rsidRPr="00FA11F9" w:rsidTr="00D407C3">
        <w:trPr>
          <w:trHeight w:val="170"/>
          <w:jc w:val="center"/>
        </w:trPr>
        <w:tc>
          <w:tcPr>
            <w:tcW w:w="65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ДОК+</w:t>
            </w:r>
          </w:p>
          <w:p w:rsidR="00CD54E9" w:rsidRPr="00D407C3" w:rsidRDefault="00CD54E9" w:rsidP="00D407C3">
            <w:pPr>
              <w:spacing w:after="0" w:line="228" w:lineRule="auto"/>
              <w:jc w:val="center"/>
              <w:rPr>
                <w:spacing w:val="-2"/>
                <w:sz w:val="17"/>
                <w:szCs w:val="17"/>
              </w:rPr>
            </w:pPr>
            <w:r w:rsidRPr="00D407C3">
              <w:rPr>
                <w:spacing w:val="-2"/>
                <w:sz w:val="17"/>
                <w:szCs w:val="17"/>
              </w:rPr>
              <w:t>Яктон (n=7)</w:t>
            </w:r>
          </w:p>
        </w:tc>
        <w:tc>
          <w:tcPr>
            <w:tcW w:w="474"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289,1±</w:t>
            </w:r>
          </w:p>
          <w:p w:rsidR="00CD54E9" w:rsidRPr="00D407C3" w:rsidRDefault="00CD54E9" w:rsidP="00D407C3">
            <w:pPr>
              <w:spacing w:after="0" w:line="228" w:lineRule="auto"/>
              <w:jc w:val="center"/>
              <w:rPr>
                <w:spacing w:val="-2"/>
                <w:sz w:val="17"/>
                <w:szCs w:val="17"/>
              </w:rPr>
            </w:pPr>
            <w:r w:rsidRPr="00D407C3">
              <w:rPr>
                <w:spacing w:val="-2"/>
                <w:sz w:val="17"/>
                <w:szCs w:val="17"/>
              </w:rPr>
              <w:t>10,9</w:t>
            </w:r>
          </w:p>
        </w:tc>
        <w:tc>
          <w:tcPr>
            <w:tcW w:w="50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165,8</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9,3**</w:t>
            </w:r>
          </w:p>
        </w:tc>
        <w:tc>
          <w:tcPr>
            <w:tcW w:w="617"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142,6</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9,1**</w:t>
            </w:r>
          </w:p>
        </w:tc>
        <w:tc>
          <w:tcPr>
            <w:tcW w:w="54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1083,2</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44,1</w:t>
            </w:r>
          </w:p>
        </w:tc>
        <w:tc>
          <w:tcPr>
            <w:tcW w:w="541"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3631,1</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380,1</w:t>
            </w:r>
          </w:p>
        </w:tc>
        <w:tc>
          <w:tcPr>
            <w:tcW w:w="488"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3,5</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0,23</w:t>
            </w:r>
          </w:p>
        </w:tc>
        <w:tc>
          <w:tcPr>
            <w:tcW w:w="490"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13,4</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0,56</w:t>
            </w:r>
          </w:p>
        </w:tc>
        <w:tc>
          <w:tcPr>
            <w:tcW w:w="695"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10661,2</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745</w:t>
            </w:r>
          </w:p>
        </w:tc>
        <w:tc>
          <w:tcPr>
            <w:tcW w:w="58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7023,2</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761**</w:t>
            </w:r>
          </w:p>
        </w:tc>
        <w:tc>
          <w:tcPr>
            <w:tcW w:w="689"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22,1</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1,5**</w:t>
            </w:r>
          </w:p>
        </w:tc>
        <w:tc>
          <w:tcPr>
            <w:tcW w:w="378" w:type="dxa"/>
            <w:vAlign w:val="center"/>
          </w:tcPr>
          <w:p w:rsidR="00CD54E9" w:rsidRPr="00D407C3" w:rsidRDefault="00CD54E9" w:rsidP="00D407C3">
            <w:pPr>
              <w:spacing w:after="0" w:line="228" w:lineRule="auto"/>
              <w:jc w:val="center"/>
              <w:rPr>
                <w:spacing w:val="-2"/>
                <w:sz w:val="17"/>
                <w:szCs w:val="17"/>
              </w:rPr>
            </w:pPr>
            <w:r w:rsidRPr="00D407C3">
              <w:rPr>
                <w:spacing w:val="-2"/>
                <w:sz w:val="17"/>
                <w:szCs w:val="17"/>
              </w:rPr>
              <w:t>18,1</w:t>
            </w:r>
          </w:p>
          <w:p w:rsidR="00CD54E9" w:rsidRPr="00D407C3" w:rsidRDefault="00CD54E9" w:rsidP="00D407C3">
            <w:pPr>
              <w:spacing w:after="0" w:line="228" w:lineRule="auto"/>
              <w:jc w:val="center"/>
              <w:rPr>
                <w:spacing w:val="-2"/>
                <w:sz w:val="17"/>
                <w:szCs w:val="17"/>
              </w:rPr>
            </w:pPr>
            <w:r w:rsidRPr="00D407C3">
              <w:rPr>
                <w:spacing w:val="-2"/>
                <w:sz w:val="17"/>
                <w:szCs w:val="17"/>
              </w:rPr>
              <w:t>±</w:t>
            </w:r>
          </w:p>
          <w:p w:rsidR="00CD54E9" w:rsidRPr="00D407C3" w:rsidRDefault="00CD54E9" w:rsidP="00D407C3">
            <w:pPr>
              <w:spacing w:after="0" w:line="228" w:lineRule="auto"/>
              <w:jc w:val="center"/>
              <w:rPr>
                <w:spacing w:val="-2"/>
                <w:sz w:val="17"/>
                <w:szCs w:val="17"/>
              </w:rPr>
            </w:pPr>
            <w:r w:rsidRPr="00D407C3">
              <w:rPr>
                <w:spacing w:val="-2"/>
                <w:sz w:val="17"/>
                <w:szCs w:val="17"/>
              </w:rPr>
              <w:t>0,5</w:t>
            </w:r>
          </w:p>
        </w:tc>
      </w:tr>
    </w:tbl>
    <w:p w:rsidR="00CD54E9" w:rsidRPr="00FA11F9" w:rsidRDefault="00CD54E9" w:rsidP="008E2269">
      <w:pPr>
        <w:pStyle w:val="NoSpacing"/>
        <w:spacing w:line="228" w:lineRule="auto"/>
        <w:ind w:firstLine="567"/>
        <w:jc w:val="both"/>
        <w:rPr>
          <w:rFonts w:ascii="Times New Roman" w:hAnsi="Times New Roman"/>
          <w:sz w:val="20"/>
          <w:szCs w:val="20"/>
          <w:lang w:val="en-US"/>
        </w:rPr>
      </w:pPr>
    </w:p>
    <w:p w:rsidR="00CD54E9" w:rsidRPr="00FA11F9" w:rsidRDefault="00CD54E9" w:rsidP="008E2269">
      <w:pPr>
        <w:pStyle w:val="NoSpacing"/>
        <w:tabs>
          <w:tab w:val="left" w:pos="1701"/>
        </w:tabs>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Примітки: </w:t>
      </w:r>
      <w:r w:rsidRPr="00FA11F9">
        <w:rPr>
          <w:rFonts w:ascii="Times New Roman" w:hAnsi="Times New Roman"/>
          <w:sz w:val="20"/>
          <w:szCs w:val="20"/>
        </w:rPr>
        <w:tab/>
        <w:t xml:space="preserve">* Р&lt;0,05 порівняно з інтактними; </w:t>
      </w:r>
    </w:p>
    <w:p w:rsidR="00CD54E9" w:rsidRPr="00700D52" w:rsidRDefault="00CD54E9" w:rsidP="008E2269">
      <w:pPr>
        <w:pStyle w:val="NoSpacing"/>
        <w:tabs>
          <w:tab w:val="left" w:pos="1701"/>
        </w:tabs>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 </w:t>
      </w:r>
      <w:r w:rsidRPr="00FA11F9">
        <w:rPr>
          <w:rFonts w:ascii="Times New Roman" w:hAnsi="Times New Roman"/>
          <w:sz w:val="20"/>
          <w:szCs w:val="20"/>
        </w:rPr>
        <w:tab/>
        <w:t>** Р&lt;0,05 порівняно з доксорубіцином</w:t>
      </w:r>
      <w:r w:rsidRPr="00700D52">
        <w:rPr>
          <w:rFonts w:ascii="Times New Roman" w:hAnsi="Times New Roman"/>
          <w:sz w:val="20"/>
          <w:szCs w:val="20"/>
        </w:rPr>
        <w:t>.</w:t>
      </w:r>
    </w:p>
    <w:p w:rsidR="00CD54E9" w:rsidRPr="00FA11F9" w:rsidRDefault="00CD54E9" w:rsidP="008E2269">
      <w:pPr>
        <w:pStyle w:val="NoSpacing"/>
        <w:spacing w:line="228" w:lineRule="auto"/>
        <w:ind w:firstLine="567"/>
        <w:jc w:val="both"/>
        <w:rPr>
          <w:rFonts w:ascii="Times New Roman" w:hAnsi="Times New Roman"/>
          <w:sz w:val="20"/>
          <w:szCs w:val="20"/>
        </w:rPr>
      </w:pP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 xml:space="preserve">За умови інтоксикації фторурацилом у кролів змінюються показники кардіо- і системної гемодинаміки, що характеризують скоротливу активність міокарда: зменшується максимальний тиск лівого шлуночка </w:t>
      </w:r>
      <w:r w:rsidRPr="00FA11F9">
        <w:rPr>
          <w:sz w:val="20"/>
          <w:szCs w:val="20"/>
        </w:rPr>
        <w:br/>
        <w:t>(–23,3%, системний артеріальний тиск (–11,3%), хвилинний (–23,7%) та ударний об’єм крові (–26,8%), систолічний індекс (–25,9%), серцевий індекс (–22%), робочий індекс лівого шлуночка (–19%), робочий ударний індекс лівого шлуночка (–20,2%), підвищується загальний периферичний судинний опір (+29,9%). Яктон за попереднього введення реалізує кардіопротекторну дію в разі інтоксикації фторурацилом стосовно зазначених показників скоротливої активності міокарда, тобто порівняно з контролем не спричинює вірогідних змін показників кардіо- та системної гемодинаміки, підвищуючи порівняно з введенням фторурацилу Рмакс. (+28,1%), САТ (+9,7%), РІЛШ (+27%), РУІЛШ (+30,2%), СІ (+46%), СИІ (+39,3%), ХОК (+48,4%), УОК (+46,7%) і знижуючи ЗПО (–22,1%). У разі інтоксикації кролів натрію фторидом, аналогічно до інтоксикації фторурацилом, змінюються показники кардіо- і системної гемодинаміки, і яктон, за попереднього введення до натрію фториду, реалізує кардіопротекторну дію аналогічно фторурацилу.</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Для визначення біохімічної фармакодинаміки похідних бурштинової кислоти в експериментах на щурах з модельованою доксорубіциновою кардіоміопатією і фторидною інтоксикацією (фторурацилом і натрію фторидом) досліджували певні показники метаболізму міокарда в інтактних щурів, з модельованою доксорубіциновою кардіоміопатією, гострою фторидною інтоксикацією фторурацилом і натрію фторидом, а також вплив на ці маркери пошкодження метаболізму міокарда яктону порівняно з мексикором. З розвитком доксорубіцинової кардіоміопатії й інтоксикації фторидами за порушеннями вмісту біохімічних показників прооксидантно-антиоксидантного гомеостазу та окиснювальної модифікації білків можна стверджувати кардіотоксичність цих лікарських засобів. Доксорубіцин, фторурацил, натрію фторид спричинювали пригнічення антиоксидантної системи та розвиток оксидативного стресу. Так, спостерігалося пригнічення активності СОД і підвищення рівня маркерів окиснювальної модифікації білка АФГ і КФГ у міокарді. Активність СОД зменшується при введенні доксорубіцину в 2,3, фторурацилу – в 1,6 рази, натрію фториду – на 36%. Рівень АФГ і КФГ під впливом доксорубіцину зростає в 2,6 та 2,5 рази, фторурацилу– в 2,5 і 2,3 рази, натрію фториду – в 1,9 і 2 рази відповідно (табл. 1).</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Спостерігалося також зниження активності глутатіонпероксидази та глутіонредуктази. Доксорубіцин зменшував активність глутатіон</w:t>
      </w:r>
      <w:r w:rsidRPr="00FA11F9">
        <w:rPr>
          <w:sz w:val="20"/>
          <w:szCs w:val="20"/>
        </w:rPr>
        <w:softHyphen/>
        <w:t xml:space="preserve">пероксидази в 1,4, глутатіонредуктази – в 2 рази; фторурацил – активність глутатіонпероксидази на 28%, глутатіонредуктази – на 44%; натрію фторид – активність глутатіонпероксидази на 19%, глутатіонредуктази – на 29%. Отримані дані свідчать про виснаження антиоксидантних систем організму, активацію окиснювальної модифікації білків за умови введення в токсичних дозах доксорубіцину, фторурацилу, натрію фториду. </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Доксорубіцин, фторурацил, натрію фторид спричинювали ішемічні зміни обміну білка в міокарді, які характеризувалися зниженням кількості цитоплазматичного та мітохондріального білка, зменшенням коефіцієнта білок/сечовина. Так, доксорубіцин знижував вміст цитоплазматичного білка в 1,7, мітохондріального білка – в 1,9 рази, коефіцієнта білок/сечовина – в 2,7 рази. Фторурацил зменшував кількість цитоплазматичного білка на 27%, мітохондріального білка – в 1,9 рази, коефіцієнта білок/сечовина – на 26%. Натрію фторид зумовлював зменшення впливу цитоплазматичного білка на 21%, мітохондріального – в 1,2 рази, коефіцієнта білок/сечовина – на 15%.</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 xml:space="preserve">Ці дані засвідчують пригнічення процесу синтезу білка. Яктон і мексикор мали значний антиоксидантний ефект, що виявлялося в підвищенні активності СОД, ГПР, ГР, зниженні маркерних показників окиснювальної модифікації білків – АФГ і КФГ (табл. 2). </w:t>
      </w:r>
    </w:p>
    <w:p w:rsidR="00CD54E9" w:rsidRPr="00FA11F9" w:rsidRDefault="00CD54E9" w:rsidP="008E2269">
      <w:pPr>
        <w:tabs>
          <w:tab w:val="left" w:pos="851"/>
        </w:tabs>
        <w:spacing w:after="0" w:line="228" w:lineRule="auto"/>
        <w:ind w:firstLine="567"/>
        <w:jc w:val="both"/>
        <w:rPr>
          <w:sz w:val="20"/>
          <w:szCs w:val="20"/>
        </w:rPr>
      </w:pPr>
    </w:p>
    <w:p w:rsidR="00CD54E9" w:rsidRPr="00FA11F9" w:rsidRDefault="00CD54E9" w:rsidP="008E2269">
      <w:pPr>
        <w:pStyle w:val="NoSpacing"/>
        <w:spacing w:line="228" w:lineRule="auto"/>
        <w:ind w:firstLine="567"/>
        <w:jc w:val="right"/>
        <w:rPr>
          <w:rFonts w:ascii="Times New Roman" w:hAnsi="Times New Roman"/>
          <w:sz w:val="20"/>
          <w:szCs w:val="20"/>
        </w:rPr>
      </w:pPr>
      <w:r w:rsidRPr="00FA11F9">
        <w:rPr>
          <w:rFonts w:ascii="Times New Roman" w:hAnsi="Times New Roman"/>
          <w:sz w:val="20"/>
          <w:szCs w:val="20"/>
        </w:rPr>
        <w:t>Таблиця 2</w:t>
      </w:r>
    </w:p>
    <w:p w:rsidR="00CD54E9" w:rsidRPr="00FA11F9" w:rsidRDefault="00CD54E9" w:rsidP="008E2269">
      <w:pPr>
        <w:pStyle w:val="NoSpacing"/>
        <w:spacing w:line="228" w:lineRule="auto"/>
        <w:jc w:val="center"/>
        <w:rPr>
          <w:rFonts w:ascii="Times New Roman" w:hAnsi="Times New Roman"/>
          <w:b/>
          <w:sz w:val="20"/>
          <w:szCs w:val="20"/>
        </w:rPr>
      </w:pPr>
      <w:r w:rsidRPr="00FA11F9">
        <w:rPr>
          <w:rFonts w:ascii="Times New Roman" w:hAnsi="Times New Roman"/>
          <w:b/>
          <w:sz w:val="20"/>
          <w:szCs w:val="20"/>
        </w:rPr>
        <w:t xml:space="preserve">Вплив яктону та мексикору на показники антиоксидантної системи, окиснювальної модифікації білка, протеїнсинтази в міокарді щурів </w:t>
      </w:r>
      <w:r w:rsidRPr="00FA11F9">
        <w:rPr>
          <w:rFonts w:ascii="Times New Roman" w:hAnsi="Times New Roman"/>
          <w:b/>
          <w:sz w:val="20"/>
          <w:szCs w:val="20"/>
        </w:rPr>
        <w:br/>
        <w:t xml:space="preserve">за доксорубіцинової кардіоміопатії </w:t>
      </w:r>
    </w:p>
    <w:p w:rsidR="00CD54E9" w:rsidRPr="00FA11F9" w:rsidRDefault="00CD54E9" w:rsidP="008E2269">
      <w:pPr>
        <w:pStyle w:val="NoSpacing"/>
        <w:spacing w:line="228" w:lineRule="auto"/>
        <w:jc w:val="center"/>
        <w:rPr>
          <w:rFonts w:ascii="Times New Roman" w:hAnsi="Times New Roman"/>
          <w:b/>
          <w:sz w:val="20"/>
          <w:szCs w:val="20"/>
        </w:rPr>
      </w:pPr>
      <w:r w:rsidRPr="00FA11F9">
        <w:rPr>
          <w:rFonts w:ascii="Times New Roman" w:hAnsi="Times New Roman"/>
          <w:b/>
          <w:sz w:val="20"/>
          <w:szCs w:val="20"/>
        </w:rPr>
        <w:t>(М±m)</w:t>
      </w:r>
    </w:p>
    <w:p w:rsidR="00CD54E9" w:rsidRPr="00FA11F9" w:rsidRDefault="00CD54E9" w:rsidP="008E2269">
      <w:pPr>
        <w:pStyle w:val="NoSpacing"/>
        <w:spacing w:line="228" w:lineRule="auto"/>
        <w:ind w:firstLine="567"/>
        <w:jc w:val="center"/>
        <w:rPr>
          <w:rFonts w:ascii="Times New Roman" w:hAnsi="Times New Roman"/>
          <w:sz w:val="20"/>
          <w:szCs w:val="20"/>
        </w:rPr>
      </w:pP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501"/>
        <w:gridCol w:w="1052"/>
        <w:gridCol w:w="1046"/>
        <w:gridCol w:w="1302"/>
        <w:gridCol w:w="1620"/>
      </w:tblGrid>
      <w:tr w:rsidR="00CD54E9" w:rsidRPr="00FA11F9" w:rsidTr="006834E9">
        <w:trPr>
          <w:trHeight w:val="20"/>
          <w:jc w:val="center"/>
        </w:trPr>
        <w:tc>
          <w:tcPr>
            <w:tcW w:w="1501" w:type="dxa"/>
            <w:vAlign w:val="center"/>
          </w:tcPr>
          <w:p w:rsidR="00CD54E9" w:rsidRPr="00FA11F9" w:rsidRDefault="00CD54E9" w:rsidP="006834E9">
            <w:pPr>
              <w:spacing w:after="0" w:line="228" w:lineRule="auto"/>
              <w:jc w:val="center"/>
              <w:rPr>
                <w:b/>
                <w:sz w:val="20"/>
                <w:szCs w:val="20"/>
              </w:rPr>
            </w:pPr>
            <w:r w:rsidRPr="00FA11F9">
              <w:rPr>
                <w:b/>
                <w:bCs/>
                <w:sz w:val="20"/>
                <w:szCs w:val="20"/>
                <w:lang w:eastAsia="uk-UA"/>
              </w:rPr>
              <w:t>Досліджувані показники</w:t>
            </w:r>
          </w:p>
        </w:tc>
        <w:tc>
          <w:tcPr>
            <w:tcW w:w="1052" w:type="dxa"/>
            <w:vAlign w:val="center"/>
          </w:tcPr>
          <w:p w:rsidR="00CD54E9" w:rsidRPr="00FA11F9" w:rsidRDefault="00CD54E9" w:rsidP="006834E9">
            <w:pPr>
              <w:spacing w:after="0" w:line="228" w:lineRule="auto"/>
              <w:jc w:val="center"/>
              <w:rPr>
                <w:b/>
                <w:sz w:val="20"/>
                <w:szCs w:val="20"/>
              </w:rPr>
            </w:pPr>
            <w:r w:rsidRPr="00FA11F9">
              <w:rPr>
                <w:b/>
                <w:bCs/>
                <w:sz w:val="20"/>
                <w:szCs w:val="20"/>
                <w:lang w:eastAsia="uk-UA"/>
              </w:rPr>
              <w:t>Інтактні</w:t>
            </w:r>
          </w:p>
        </w:tc>
        <w:tc>
          <w:tcPr>
            <w:tcW w:w="1046" w:type="dxa"/>
            <w:vAlign w:val="center"/>
          </w:tcPr>
          <w:p w:rsidR="00CD54E9" w:rsidRPr="00FA11F9" w:rsidRDefault="00CD54E9" w:rsidP="006834E9">
            <w:pPr>
              <w:spacing w:after="0" w:line="228" w:lineRule="auto"/>
              <w:jc w:val="center"/>
              <w:rPr>
                <w:b/>
                <w:sz w:val="20"/>
                <w:szCs w:val="20"/>
              </w:rPr>
            </w:pPr>
            <w:r w:rsidRPr="00FA11F9">
              <w:rPr>
                <w:b/>
                <w:bCs/>
                <w:sz w:val="20"/>
                <w:szCs w:val="20"/>
                <w:lang w:eastAsia="uk-UA"/>
              </w:rPr>
              <w:t>ДОК</w:t>
            </w:r>
          </w:p>
        </w:tc>
        <w:tc>
          <w:tcPr>
            <w:tcW w:w="1302" w:type="dxa"/>
            <w:vAlign w:val="center"/>
          </w:tcPr>
          <w:p w:rsidR="00CD54E9" w:rsidRPr="00FA11F9" w:rsidRDefault="00CD54E9" w:rsidP="006834E9">
            <w:pPr>
              <w:spacing w:after="0" w:line="228" w:lineRule="auto"/>
              <w:jc w:val="center"/>
              <w:rPr>
                <w:b/>
                <w:sz w:val="20"/>
                <w:szCs w:val="20"/>
              </w:rPr>
            </w:pPr>
            <w:r w:rsidRPr="00FA11F9">
              <w:rPr>
                <w:b/>
                <w:bCs/>
                <w:sz w:val="20"/>
                <w:szCs w:val="20"/>
                <w:lang w:eastAsia="uk-UA"/>
              </w:rPr>
              <w:t>Яктон+ДОК</w:t>
            </w:r>
          </w:p>
        </w:tc>
        <w:tc>
          <w:tcPr>
            <w:tcW w:w="1620" w:type="dxa"/>
            <w:vAlign w:val="center"/>
          </w:tcPr>
          <w:p w:rsidR="00CD54E9" w:rsidRPr="00FA11F9" w:rsidRDefault="00CD54E9" w:rsidP="006834E9">
            <w:pPr>
              <w:spacing w:after="0" w:line="228" w:lineRule="auto"/>
              <w:jc w:val="center"/>
              <w:rPr>
                <w:b/>
                <w:bCs/>
                <w:sz w:val="20"/>
                <w:szCs w:val="20"/>
                <w:lang w:eastAsia="uk-UA"/>
              </w:rPr>
            </w:pPr>
            <w:r w:rsidRPr="00FA11F9">
              <w:rPr>
                <w:b/>
                <w:bCs/>
                <w:sz w:val="20"/>
                <w:szCs w:val="20"/>
                <w:lang w:eastAsia="uk-UA"/>
              </w:rPr>
              <w:t>Мексикор+ДОК</w:t>
            </w:r>
          </w:p>
        </w:tc>
      </w:tr>
      <w:tr w:rsidR="00CD54E9" w:rsidRPr="00FA11F9" w:rsidTr="006834E9">
        <w:trPr>
          <w:trHeight w:val="20"/>
          <w:jc w:val="center"/>
        </w:trPr>
        <w:tc>
          <w:tcPr>
            <w:tcW w:w="1501"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Активність СОД, у.е./мг/хв</w:t>
            </w:r>
          </w:p>
        </w:tc>
        <w:tc>
          <w:tcPr>
            <w:tcW w:w="1052"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271,8±10,7</w:t>
            </w:r>
          </w:p>
        </w:tc>
        <w:tc>
          <w:tcPr>
            <w:tcW w:w="1046" w:type="dxa"/>
            <w:vAlign w:val="center"/>
          </w:tcPr>
          <w:p w:rsidR="00CD54E9" w:rsidRPr="00FA11F9" w:rsidRDefault="00CD54E9" w:rsidP="006834E9">
            <w:pPr>
              <w:spacing w:after="0" w:line="228" w:lineRule="auto"/>
              <w:jc w:val="center"/>
              <w:rPr>
                <w:sz w:val="20"/>
                <w:szCs w:val="20"/>
                <w:lang w:eastAsia="uk-UA"/>
              </w:rPr>
            </w:pPr>
            <w:r w:rsidRPr="00FA11F9">
              <w:rPr>
                <w:sz w:val="20"/>
                <w:szCs w:val="20"/>
                <w:lang w:eastAsia="uk-UA"/>
              </w:rPr>
              <w:t>168,2±8,4*</w:t>
            </w:r>
          </w:p>
        </w:tc>
        <w:tc>
          <w:tcPr>
            <w:tcW w:w="1302" w:type="dxa"/>
            <w:vAlign w:val="center"/>
          </w:tcPr>
          <w:p w:rsidR="00CD54E9" w:rsidRPr="00FA11F9" w:rsidRDefault="00CD54E9" w:rsidP="006834E9">
            <w:pPr>
              <w:spacing w:after="0" w:line="228" w:lineRule="auto"/>
              <w:jc w:val="center"/>
              <w:rPr>
                <w:sz w:val="20"/>
                <w:szCs w:val="20"/>
              </w:rPr>
            </w:pPr>
            <w:r w:rsidRPr="00FA11F9">
              <w:rPr>
                <w:sz w:val="20"/>
                <w:szCs w:val="20"/>
              </w:rPr>
              <w:t>215,5</w:t>
            </w:r>
            <w:r w:rsidRPr="00FA11F9">
              <w:rPr>
                <w:sz w:val="20"/>
                <w:szCs w:val="20"/>
                <w:lang w:eastAsia="uk-UA"/>
              </w:rPr>
              <w:t>±7,7**</w:t>
            </w:r>
          </w:p>
        </w:tc>
        <w:tc>
          <w:tcPr>
            <w:tcW w:w="1620" w:type="dxa"/>
            <w:vAlign w:val="center"/>
          </w:tcPr>
          <w:p w:rsidR="00CD54E9" w:rsidRPr="00FA11F9" w:rsidRDefault="00CD54E9" w:rsidP="006834E9">
            <w:pPr>
              <w:spacing w:after="0" w:line="228" w:lineRule="auto"/>
              <w:jc w:val="center"/>
              <w:rPr>
                <w:sz w:val="20"/>
                <w:szCs w:val="20"/>
              </w:rPr>
            </w:pPr>
            <w:r w:rsidRPr="00FA11F9">
              <w:rPr>
                <w:sz w:val="20"/>
                <w:szCs w:val="20"/>
              </w:rPr>
              <w:t>214,3</w:t>
            </w:r>
            <w:r w:rsidRPr="00FA11F9">
              <w:rPr>
                <w:sz w:val="20"/>
                <w:szCs w:val="20"/>
                <w:lang w:eastAsia="uk-UA"/>
              </w:rPr>
              <w:t>±6,5**</w:t>
            </w:r>
          </w:p>
        </w:tc>
      </w:tr>
      <w:tr w:rsidR="00CD54E9" w:rsidRPr="00FA11F9" w:rsidTr="006834E9">
        <w:trPr>
          <w:trHeight w:val="20"/>
          <w:jc w:val="center"/>
        </w:trPr>
        <w:tc>
          <w:tcPr>
            <w:tcW w:w="1501"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Активність ГПР, мкм/мг/хв</w:t>
            </w:r>
          </w:p>
        </w:tc>
        <w:tc>
          <w:tcPr>
            <w:tcW w:w="1052"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151,7±4,2</w:t>
            </w:r>
          </w:p>
        </w:tc>
        <w:tc>
          <w:tcPr>
            <w:tcW w:w="1046" w:type="dxa"/>
            <w:vAlign w:val="center"/>
          </w:tcPr>
          <w:p w:rsidR="00CD54E9" w:rsidRPr="00FA11F9" w:rsidRDefault="00CD54E9" w:rsidP="006834E9">
            <w:pPr>
              <w:spacing w:after="0" w:line="228" w:lineRule="auto"/>
              <w:jc w:val="center"/>
              <w:rPr>
                <w:sz w:val="20"/>
                <w:szCs w:val="20"/>
              </w:rPr>
            </w:pPr>
            <w:r w:rsidRPr="00FA11F9">
              <w:rPr>
                <w:sz w:val="20"/>
                <w:szCs w:val="20"/>
              </w:rPr>
              <w:t>106,4</w:t>
            </w:r>
            <w:r w:rsidRPr="00FA11F9">
              <w:rPr>
                <w:sz w:val="20"/>
                <w:szCs w:val="20"/>
                <w:lang w:eastAsia="uk-UA"/>
              </w:rPr>
              <w:t>±5,9*</w:t>
            </w:r>
          </w:p>
        </w:tc>
        <w:tc>
          <w:tcPr>
            <w:tcW w:w="1302" w:type="dxa"/>
            <w:vAlign w:val="center"/>
          </w:tcPr>
          <w:p w:rsidR="00CD54E9" w:rsidRPr="00FA11F9" w:rsidRDefault="00CD54E9" w:rsidP="006834E9">
            <w:pPr>
              <w:spacing w:after="0" w:line="228" w:lineRule="auto"/>
              <w:jc w:val="center"/>
              <w:rPr>
                <w:sz w:val="20"/>
                <w:szCs w:val="20"/>
              </w:rPr>
            </w:pPr>
            <w:r w:rsidRPr="00FA11F9">
              <w:rPr>
                <w:sz w:val="20"/>
                <w:szCs w:val="20"/>
              </w:rPr>
              <w:t>128,9</w:t>
            </w:r>
            <w:r w:rsidRPr="00FA11F9">
              <w:rPr>
                <w:sz w:val="20"/>
                <w:szCs w:val="20"/>
                <w:lang w:eastAsia="uk-UA"/>
              </w:rPr>
              <w:t>±4,7**</w:t>
            </w:r>
          </w:p>
        </w:tc>
        <w:tc>
          <w:tcPr>
            <w:tcW w:w="1620" w:type="dxa"/>
            <w:vAlign w:val="center"/>
          </w:tcPr>
          <w:p w:rsidR="00CD54E9" w:rsidRPr="00FA11F9" w:rsidRDefault="00CD54E9" w:rsidP="006834E9">
            <w:pPr>
              <w:spacing w:after="0" w:line="228" w:lineRule="auto"/>
              <w:jc w:val="center"/>
              <w:rPr>
                <w:sz w:val="20"/>
                <w:szCs w:val="20"/>
              </w:rPr>
            </w:pPr>
            <w:r w:rsidRPr="00FA11F9">
              <w:rPr>
                <w:sz w:val="20"/>
                <w:szCs w:val="20"/>
              </w:rPr>
              <w:t>125,3</w:t>
            </w:r>
            <w:r w:rsidRPr="00FA11F9">
              <w:rPr>
                <w:sz w:val="20"/>
                <w:szCs w:val="20"/>
                <w:lang w:eastAsia="uk-UA"/>
              </w:rPr>
              <w:t>±8,9**</w:t>
            </w:r>
          </w:p>
        </w:tc>
      </w:tr>
      <w:tr w:rsidR="00CD54E9" w:rsidRPr="00FA11F9" w:rsidTr="006834E9">
        <w:trPr>
          <w:trHeight w:val="20"/>
          <w:jc w:val="center"/>
        </w:trPr>
        <w:tc>
          <w:tcPr>
            <w:tcW w:w="1501"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Активність ГР, мкм/мг/хв</w:t>
            </w:r>
          </w:p>
        </w:tc>
        <w:tc>
          <w:tcPr>
            <w:tcW w:w="1052" w:type="dxa"/>
            <w:vAlign w:val="center"/>
          </w:tcPr>
          <w:p w:rsidR="00CD54E9" w:rsidRPr="00FA11F9" w:rsidRDefault="00CD54E9" w:rsidP="006834E9">
            <w:pPr>
              <w:spacing w:after="0" w:line="228" w:lineRule="auto"/>
              <w:jc w:val="center"/>
              <w:rPr>
                <w:sz w:val="20"/>
                <w:szCs w:val="20"/>
              </w:rPr>
            </w:pPr>
            <w:r w:rsidRPr="00FA11F9">
              <w:rPr>
                <w:sz w:val="20"/>
                <w:szCs w:val="20"/>
              </w:rPr>
              <w:t>20,1</w:t>
            </w:r>
            <w:r w:rsidRPr="00FA11F9">
              <w:rPr>
                <w:sz w:val="20"/>
                <w:szCs w:val="20"/>
                <w:lang w:eastAsia="uk-UA"/>
              </w:rPr>
              <w:t>±0,65</w:t>
            </w:r>
          </w:p>
        </w:tc>
        <w:tc>
          <w:tcPr>
            <w:tcW w:w="1046" w:type="dxa"/>
            <w:vAlign w:val="center"/>
          </w:tcPr>
          <w:p w:rsidR="00CD54E9" w:rsidRPr="00FA11F9" w:rsidRDefault="00CD54E9" w:rsidP="006834E9">
            <w:pPr>
              <w:spacing w:after="0" w:line="228" w:lineRule="auto"/>
              <w:jc w:val="center"/>
              <w:rPr>
                <w:sz w:val="20"/>
                <w:szCs w:val="20"/>
              </w:rPr>
            </w:pPr>
            <w:r w:rsidRPr="00FA11F9">
              <w:rPr>
                <w:sz w:val="20"/>
                <w:szCs w:val="20"/>
              </w:rPr>
              <w:t>10,1</w:t>
            </w:r>
            <w:r w:rsidRPr="00FA11F9">
              <w:rPr>
                <w:sz w:val="20"/>
                <w:szCs w:val="20"/>
                <w:lang w:eastAsia="uk-UA"/>
              </w:rPr>
              <w:t>±0,3*</w:t>
            </w:r>
          </w:p>
        </w:tc>
        <w:tc>
          <w:tcPr>
            <w:tcW w:w="1302" w:type="dxa"/>
            <w:vAlign w:val="center"/>
          </w:tcPr>
          <w:p w:rsidR="00CD54E9" w:rsidRPr="00FA11F9" w:rsidRDefault="00CD54E9" w:rsidP="006834E9">
            <w:pPr>
              <w:spacing w:after="0" w:line="228" w:lineRule="auto"/>
              <w:jc w:val="center"/>
              <w:rPr>
                <w:sz w:val="20"/>
                <w:szCs w:val="20"/>
              </w:rPr>
            </w:pPr>
            <w:r w:rsidRPr="00FA11F9">
              <w:rPr>
                <w:sz w:val="20"/>
                <w:szCs w:val="20"/>
              </w:rPr>
              <w:t>19,2</w:t>
            </w:r>
            <w:r w:rsidRPr="00FA11F9">
              <w:rPr>
                <w:sz w:val="20"/>
                <w:szCs w:val="20"/>
                <w:lang w:eastAsia="uk-UA"/>
              </w:rPr>
              <w:t>±0,2**</w:t>
            </w:r>
          </w:p>
        </w:tc>
        <w:tc>
          <w:tcPr>
            <w:tcW w:w="1620" w:type="dxa"/>
            <w:vAlign w:val="center"/>
          </w:tcPr>
          <w:p w:rsidR="00CD54E9" w:rsidRPr="00FA11F9" w:rsidRDefault="00CD54E9" w:rsidP="006834E9">
            <w:pPr>
              <w:spacing w:after="0" w:line="228" w:lineRule="auto"/>
              <w:jc w:val="center"/>
              <w:rPr>
                <w:sz w:val="20"/>
                <w:szCs w:val="20"/>
              </w:rPr>
            </w:pPr>
            <w:r w:rsidRPr="00FA11F9">
              <w:rPr>
                <w:sz w:val="20"/>
                <w:szCs w:val="20"/>
              </w:rPr>
              <w:t>18,1</w:t>
            </w:r>
            <w:r w:rsidRPr="00FA11F9">
              <w:rPr>
                <w:sz w:val="20"/>
                <w:szCs w:val="20"/>
                <w:lang w:eastAsia="uk-UA"/>
              </w:rPr>
              <w:t>±0,1**</w:t>
            </w:r>
          </w:p>
        </w:tc>
      </w:tr>
      <w:tr w:rsidR="00CD54E9" w:rsidRPr="00FA11F9" w:rsidTr="006834E9">
        <w:trPr>
          <w:trHeight w:val="20"/>
          <w:jc w:val="center"/>
        </w:trPr>
        <w:tc>
          <w:tcPr>
            <w:tcW w:w="1501"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АФГ, у.е./г білка</w:t>
            </w:r>
          </w:p>
        </w:tc>
        <w:tc>
          <w:tcPr>
            <w:tcW w:w="1052"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7,6±0,5</w:t>
            </w:r>
          </w:p>
        </w:tc>
        <w:tc>
          <w:tcPr>
            <w:tcW w:w="1046" w:type="dxa"/>
            <w:vAlign w:val="center"/>
          </w:tcPr>
          <w:p w:rsidR="00CD54E9" w:rsidRPr="00FA11F9" w:rsidRDefault="00CD54E9" w:rsidP="006834E9">
            <w:pPr>
              <w:spacing w:after="0" w:line="228" w:lineRule="auto"/>
              <w:jc w:val="center"/>
              <w:rPr>
                <w:sz w:val="20"/>
                <w:szCs w:val="20"/>
              </w:rPr>
            </w:pPr>
            <w:r w:rsidRPr="00FA11F9">
              <w:rPr>
                <w:sz w:val="20"/>
                <w:szCs w:val="20"/>
              </w:rPr>
              <w:t>19,2</w:t>
            </w:r>
            <w:r w:rsidRPr="00FA11F9">
              <w:rPr>
                <w:sz w:val="20"/>
                <w:szCs w:val="20"/>
                <w:lang w:eastAsia="uk-UA"/>
              </w:rPr>
              <w:t>±1,1*</w:t>
            </w:r>
          </w:p>
        </w:tc>
        <w:tc>
          <w:tcPr>
            <w:tcW w:w="1302" w:type="dxa"/>
            <w:vAlign w:val="center"/>
          </w:tcPr>
          <w:p w:rsidR="00CD54E9" w:rsidRPr="00FA11F9" w:rsidRDefault="00CD54E9" w:rsidP="006834E9">
            <w:pPr>
              <w:spacing w:after="0" w:line="228" w:lineRule="auto"/>
              <w:jc w:val="center"/>
              <w:rPr>
                <w:sz w:val="20"/>
                <w:szCs w:val="20"/>
              </w:rPr>
            </w:pPr>
            <w:r w:rsidRPr="00FA11F9">
              <w:rPr>
                <w:sz w:val="20"/>
                <w:szCs w:val="20"/>
              </w:rPr>
              <w:t>13,3</w:t>
            </w:r>
            <w:r w:rsidRPr="00FA11F9">
              <w:rPr>
                <w:sz w:val="20"/>
                <w:szCs w:val="20"/>
                <w:lang w:eastAsia="uk-UA"/>
              </w:rPr>
              <w:t>±1,2**</w:t>
            </w:r>
          </w:p>
        </w:tc>
        <w:tc>
          <w:tcPr>
            <w:tcW w:w="1620" w:type="dxa"/>
            <w:vAlign w:val="center"/>
          </w:tcPr>
          <w:p w:rsidR="00CD54E9" w:rsidRPr="00FA11F9" w:rsidRDefault="00CD54E9" w:rsidP="006834E9">
            <w:pPr>
              <w:spacing w:after="0" w:line="228" w:lineRule="auto"/>
              <w:jc w:val="center"/>
              <w:rPr>
                <w:sz w:val="20"/>
                <w:szCs w:val="20"/>
              </w:rPr>
            </w:pPr>
            <w:r w:rsidRPr="00FA11F9">
              <w:rPr>
                <w:sz w:val="20"/>
                <w:szCs w:val="20"/>
              </w:rPr>
              <w:t>13,5</w:t>
            </w:r>
            <w:r w:rsidRPr="00FA11F9">
              <w:rPr>
                <w:sz w:val="20"/>
                <w:szCs w:val="20"/>
                <w:lang w:eastAsia="uk-UA"/>
              </w:rPr>
              <w:t>±1,0**</w:t>
            </w:r>
          </w:p>
        </w:tc>
      </w:tr>
      <w:tr w:rsidR="00CD54E9" w:rsidRPr="00FA11F9" w:rsidTr="006834E9">
        <w:trPr>
          <w:trHeight w:val="20"/>
          <w:jc w:val="center"/>
        </w:trPr>
        <w:tc>
          <w:tcPr>
            <w:tcW w:w="1501"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КФГ, у.е./г білка</w:t>
            </w:r>
          </w:p>
        </w:tc>
        <w:tc>
          <w:tcPr>
            <w:tcW w:w="1052"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11,7±0,63</w:t>
            </w:r>
          </w:p>
        </w:tc>
        <w:tc>
          <w:tcPr>
            <w:tcW w:w="1046" w:type="dxa"/>
            <w:vAlign w:val="center"/>
          </w:tcPr>
          <w:p w:rsidR="00CD54E9" w:rsidRPr="00FA11F9" w:rsidRDefault="00CD54E9" w:rsidP="006834E9">
            <w:pPr>
              <w:spacing w:after="0" w:line="228" w:lineRule="auto"/>
              <w:jc w:val="center"/>
              <w:rPr>
                <w:sz w:val="20"/>
                <w:szCs w:val="20"/>
              </w:rPr>
            </w:pPr>
            <w:r w:rsidRPr="00FA11F9">
              <w:rPr>
                <w:sz w:val="20"/>
                <w:szCs w:val="20"/>
              </w:rPr>
              <w:t>29,8</w:t>
            </w:r>
            <w:r w:rsidRPr="00FA11F9">
              <w:rPr>
                <w:sz w:val="20"/>
                <w:szCs w:val="20"/>
                <w:lang w:eastAsia="uk-UA"/>
              </w:rPr>
              <w:t>±1,9*</w:t>
            </w:r>
          </w:p>
        </w:tc>
        <w:tc>
          <w:tcPr>
            <w:tcW w:w="1302" w:type="dxa"/>
            <w:vAlign w:val="center"/>
          </w:tcPr>
          <w:p w:rsidR="00CD54E9" w:rsidRPr="00FA11F9" w:rsidRDefault="00CD54E9" w:rsidP="006834E9">
            <w:pPr>
              <w:spacing w:after="0" w:line="228" w:lineRule="auto"/>
              <w:jc w:val="center"/>
              <w:rPr>
                <w:sz w:val="20"/>
                <w:szCs w:val="20"/>
              </w:rPr>
            </w:pPr>
            <w:r w:rsidRPr="00FA11F9">
              <w:rPr>
                <w:sz w:val="20"/>
                <w:szCs w:val="20"/>
              </w:rPr>
              <w:t>14,2</w:t>
            </w:r>
            <w:r w:rsidRPr="00FA11F9">
              <w:rPr>
                <w:sz w:val="20"/>
                <w:szCs w:val="20"/>
                <w:lang w:eastAsia="uk-UA"/>
              </w:rPr>
              <w:t>±1,3**</w:t>
            </w:r>
          </w:p>
        </w:tc>
        <w:tc>
          <w:tcPr>
            <w:tcW w:w="1620" w:type="dxa"/>
            <w:vAlign w:val="center"/>
          </w:tcPr>
          <w:p w:rsidR="00CD54E9" w:rsidRPr="00FA11F9" w:rsidRDefault="00CD54E9" w:rsidP="006834E9">
            <w:pPr>
              <w:spacing w:after="0" w:line="228" w:lineRule="auto"/>
              <w:jc w:val="center"/>
              <w:rPr>
                <w:sz w:val="20"/>
                <w:szCs w:val="20"/>
              </w:rPr>
            </w:pPr>
            <w:r w:rsidRPr="00FA11F9">
              <w:rPr>
                <w:sz w:val="20"/>
                <w:szCs w:val="20"/>
              </w:rPr>
              <w:t>14,3</w:t>
            </w:r>
            <w:r w:rsidRPr="00FA11F9">
              <w:rPr>
                <w:sz w:val="20"/>
                <w:szCs w:val="20"/>
                <w:lang w:eastAsia="uk-UA"/>
              </w:rPr>
              <w:t>±1,2**</w:t>
            </w:r>
          </w:p>
        </w:tc>
      </w:tr>
      <w:tr w:rsidR="00CD54E9" w:rsidRPr="00FA11F9" w:rsidTr="006834E9">
        <w:trPr>
          <w:trHeight w:val="20"/>
          <w:jc w:val="center"/>
        </w:trPr>
        <w:tc>
          <w:tcPr>
            <w:tcW w:w="1501" w:type="dxa"/>
            <w:vAlign w:val="center"/>
          </w:tcPr>
          <w:p w:rsidR="00CD54E9" w:rsidRPr="00FA11F9" w:rsidRDefault="00CD54E9" w:rsidP="006834E9">
            <w:pPr>
              <w:spacing w:after="0" w:line="228" w:lineRule="auto"/>
              <w:jc w:val="center"/>
              <w:rPr>
                <w:sz w:val="20"/>
                <w:szCs w:val="20"/>
                <w:lang w:eastAsia="uk-UA"/>
              </w:rPr>
            </w:pPr>
            <w:r w:rsidRPr="00FA11F9">
              <w:rPr>
                <w:sz w:val="20"/>
                <w:szCs w:val="20"/>
                <w:lang w:eastAsia="uk-UA"/>
              </w:rPr>
              <w:t>Білок-цт, міліграм/г</w:t>
            </w:r>
          </w:p>
        </w:tc>
        <w:tc>
          <w:tcPr>
            <w:tcW w:w="1052" w:type="dxa"/>
            <w:vAlign w:val="center"/>
          </w:tcPr>
          <w:p w:rsidR="00CD54E9" w:rsidRPr="00FA11F9" w:rsidRDefault="00CD54E9" w:rsidP="006834E9">
            <w:pPr>
              <w:spacing w:after="0" w:line="228" w:lineRule="auto"/>
              <w:jc w:val="center"/>
              <w:rPr>
                <w:sz w:val="20"/>
                <w:szCs w:val="20"/>
              </w:rPr>
            </w:pPr>
            <w:r w:rsidRPr="00FA11F9">
              <w:rPr>
                <w:sz w:val="20"/>
                <w:szCs w:val="20"/>
                <w:lang w:eastAsia="uk-UA"/>
              </w:rPr>
              <w:t>110±2,5</w:t>
            </w:r>
          </w:p>
        </w:tc>
        <w:tc>
          <w:tcPr>
            <w:tcW w:w="1046" w:type="dxa"/>
            <w:vAlign w:val="center"/>
          </w:tcPr>
          <w:p w:rsidR="00CD54E9" w:rsidRPr="00FA11F9" w:rsidRDefault="00CD54E9" w:rsidP="006834E9">
            <w:pPr>
              <w:spacing w:after="0" w:line="228" w:lineRule="auto"/>
              <w:jc w:val="center"/>
              <w:rPr>
                <w:sz w:val="20"/>
                <w:szCs w:val="20"/>
              </w:rPr>
            </w:pPr>
            <w:r w:rsidRPr="00FA11F9">
              <w:rPr>
                <w:sz w:val="20"/>
                <w:szCs w:val="20"/>
              </w:rPr>
              <w:t>72</w:t>
            </w:r>
            <w:r w:rsidRPr="00FA11F9">
              <w:rPr>
                <w:sz w:val="20"/>
                <w:szCs w:val="20"/>
                <w:lang w:eastAsia="uk-UA"/>
              </w:rPr>
              <w:t>±1,4*</w:t>
            </w:r>
          </w:p>
        </w:tc>
        <w:tc>
          <w:tcPr>
            <w:tcW w:w="1302" w:type="dxa"/>
            <w:vAlign w:val="center"/>
          </w:tcPr>
          <w:p w:rsidR="00CD54E9" w:rsidRPr="00FA11F9" w:rsidRDefault="00CD54E9" w:rsidP="006834E9">
            <w:pPr>
              <w:spacing w:after="0" w:line="228" w:lineRule="auto"/>
              <w:jc w:val="center"/>
              <w:rPr>
                <w:sz w:val="20"/>
                <w:szCs w:val="20"/>
              </w:rPr>
            </w:pPr>
            <w:r w:rsidRPr="00FA11F9">
              <w:rPr>
                <w:sz w:val="20"/>
                <w:szCs w:val="20"/>
              </w:rPr>
              <w:t>99,4</w:t>
            </w:r>
            <w:r w:rsidRPr="00FA11F9">
              <w:rPr>
                <w:sz w:val="20"/>
                <w:szCs w:val="20"/>
                <w:lang w:eastAsia="uk-UA"/>
              </w:rPr>
              <w:t>±1,5**</w:t>
            </w:r>
          </w:p>
        </w:tc>
        <w:tc>
          <w:tcPr>
            <w:tcW w:w="1620" w:type="dxa"/>
            <w:vAlign w:val="center"/>
          </w:tcPr>
          <w:p w:rsidR="00CD54E9" w:rsidRPr="00FA11F9" w:rsidRDefault="00CD54E9" w:rsidP="006834E9">
            <w:pPr>
              <w:spacing w:after="0" w:line="228" w:lineRule="auto"/>
              <w:jc w:val="center"/>
              <w:rPr>
                <w:sz w:val="20"/>
                <w:szCs w:val="20"/>
                <w:lang w:eastAsia="uk-UA"/>
              </w:rPr>
            </w:pPr>
            <w:r w:rsidRPr="00FA11F9">
              <w:rPr>
                <w:sz w:val="20"/>
                <w:szCs w:val="20"/>
                <w:lang w:eastAsia="uk-UA"/>
              </w:rPr>
              <w:t>98,0±1,6**</w:t>
            </w:r>
          </w:p>
        </w:tc>
      </w:tr>
      <w:tr w:rsidR="00CD54E9" w:rsidRPr="00FA11F9" w:rsidTr="006834E9">
        <w:trPr>
          <w:trHeight w:val="20"/>
          <w:jc w:val="center"/>
        </w:trPr>
        <w:tc>
          <w:tcPr>
            <w:tcW w:w="1501" w:type="dxa"/>
            <w:vAlign w:val="center"/>
          </w:tcPr>
          <w:p w:rsidR="00CD54E9" w:rsidRPr="00FA11F9" w:rsidRDefault="00CD54E9" w:rsidP="006834E9">
            <w:pPr>
              <w:spacing w:after="0" w:line="228" w:lineRule="auto"/>
              <w:jc w:val="center"/>
              <w:rPr>
                <w:sz w:val="20"/>
                <w:szCs w:val="20"/>
                <w:lang w:eastAsia="uk-UA"/>
              </w:rPr>
            </w:pPr>
            <w:r w:rsidRPr="00FA11F9">
              <w:rPr>
                <w:sz w:val="20"/>
                <w:szCs w:val="20"/>
                <w:lang w:eastAsia="uk-UA"/>
              </w:rPr>
              <w:t>Білок-мх, міліграм/г</w:t>
            </w:r>
          </w:p>
        </w:tc>
        <w:tc>
          <w:tcPr>
            <w:tcW w:w="1052" w:type="dxa"/>
            <w:vAlign w:val="center"/>
          </w:tcPr>
          <w:p w:rsidR="00CD54E9" w:rsidRPr="00FA11F9" w:rsidRDefault="00CD54E9" w:rsidP="006834E9">
            <w:pPr>
              <w:spacing w:after="0" w:line="228" w:lineRule="auto"/>
              <w:jc w:val="center"/>
              <w:rPr>
                <w:sz w:val="20"/>
                <w:szCs w:val="20"/>
              </w:rPr>
            </w:pPr>
            <w:r w:rsidRPr="00FA11F9">
              <w:rPr>
                <w:sz w:val="20"/>
                <w:szCs w:val="20"/>
              </w:rPr>
              <w:t>15,8 ±1,1</w:t>
            </w:r>
          </w:p>
        </w:tc>
        <w:tc>
          <w:tcPr>
            <w:tcW w:w="1046" w:type="dxa"/>
            <w:vAlign w:val="center"/>
          </w:tcPr>
          <w:p w:rsidR="00CD54E9" w:rsidRPr="00FA11F9" w:rsidRDefault="00CD54E9" w:rsidP="006834E9">
            <w:pPr>
              <w:spacing w:after="0" w:line="228" w:lineRule="auto"/>
              <w:jc w:val="center"/>
              <w:rPr>
                <w:sz w:val="20"/>
                <w:szCs w:val="20"/>
              </w:rPr>
            </w:pPr>
            <w:r w:rsidRPr="00FA11F9">
              <w:rPr>
                <w:sz w:val="20"/>
                <w:szCs w:val="20"/>
              </w:rPr>
              <w:t>8,0</w:t>
            </w:r>
            <w:r w:rsidRPr="00FA11F9">
              <w:rPr>
                <w:sz w:val="20"/>
                <w:szCs w:val="20"/>
                <w:lang w:eastAsia="uk-UA"/>
              </w:rPr>
              <w:t>±0,8*</w:t>
            </w:r>
          </w:p>
        </w:tc>
        <w:tc>
          <w:tcPr>
            <w:tcW w:w="1302" w:type="dxa"/>
            <w:vAlign w:val="center"/>
          </w:tcPr>
          <w:p w:rsidR="00CD54E9" w:rsidRPr="00FA11F9" w:rsidRDefault="00CD54E9" w:rsidP="006834E9">
            <w:pPr>
              <w:spacing w:after="0" w:line="228" w:lineRule="auto"/>
              <w:jc w:val="center"/>
              <w:rPr>
                <w:sz w:val="20"/>
                <w:szCs w:val="20"/>
              </w:rPr>
            </w:pPr>
            <w:r w:rsidRPr="00FA11F9">
              <w:rPr>
                <w:sz w:val="20"/>
                <w:szCs w:val="20"/>
              </w:rPr>
              <w:t>13,1</w:t>
            </w:r>
            <w:r w:rsidRPr="00FA11F9">
              <w:rPr>
                <w:sz w:val="20"/>
                <w:szCs w:val="20"/>
                <w:lang w:eastAsia="uk-UA"/>
              </w:rPr>
              <w:t>±1,2**</w:t>
            </w:r>
          </w:p>
        </w:tc>
        <w:tc>
          <w:tcPr>
            <w:tcW w:w="1620" w:type="dxa"/>
            <w:vAlign w:val="center"/>
          </w:tcPr>
          <w:p w:rsidR="00CD54E9" w:rsidRPr="00FA11F9" w:rsidRDefault="00CD54E9" w:rsidP="006834E9">
            <w:pPr>
              <w:spacing w:after="0" w:line="228" w:lineRule="auto"/>
              <w:jc w:val="center"/>
              <w:rPr>
                <w:sz w:val="20"/>
                <w:szCs w:val="20"/>
              </w:rPr>
            </w:pPr>
            <w:r w:rsidRPr="00FA11F9">
              <w:rPr>
                <w:sz w:val="20"/>
                <w:szCs w:val="20"/>
              </w:rPr>
              <w:t>13,2</w:t>
            </w:r>
            <w:r w:rsidRPr="00FA11F9">
              <w:rPr>
                <w:sz w:val="20"/>
                <w:szCs w:val="20"/>
                <w:lang w:eastAsia="uk-UA"/>
              </w:rPr>
              <w:t>±1,3**</w:t>
            </w:r>
          </w:p>
        </w:tc>
      </w:tr>
      <w:tr w:rsidR="00CD54E9" w:rsidRPr="00FA11F9" w:rsidTr="006834E9">
        <w:trPr>
          <w:trHeight w:val="20"/>
          <w:jc w:val="center"/>
        </w:trPr>
        <w:tc>
          <w:tcPr>
            <w:tcW w:w="1501" w:type="dxa"/>
            <w:vAlign w:val="center"/>
          </w:tcPr>
          <w:p w:rsidR="00CD54E9" w:rsidRPr="00FA11F9" w:rsidRDefault="00CD54E9" w:rsidP="006834E9">
            <w:pPr>
              <w:spacing w:after="0" w:line="228" w:lineRule="auto"/>
              <w:jc w:val="center"/>
              <w:rPr>
                <w:sz w:val="20"/>
                <w:szCs w:val="20"/>
                <w:lang w:eastAsia="uk-UA"/>
              </w:rPr>
            </w:pPr>
            <w:r w:rsidRPr="00FA11F9">
              <w:rPr>
                <w:sz w:val="20"/>
                <w:szCs w:val="20"/>
                <w:lang w:eastAsia="uk-UA"/>
              </w:rPr>
              <w:t>Коефіцієнт білок/сечовина</w:t>
            </w:r>
          </w:p>
        </w:tc>
        <w:tc>
          <w:tcPr>
            <w:tcW w:w="1052" w:type="dxa"/>
            <w:vAlign w:val="center"/>
          </w:tcPr>
          <w:p w:rsidR="00CD54E9" w:rsidRPr="00FA11F9" w:rsidRDefault="00CD54E9" w:rsidP="006834E9">
            <w:pPr>
              <w:spacing w:after="0" w:line="228" w:lineRule="auto"/>
              <w:jc w:val="center"/>
              <w:rPr>
                <w:sz w:val="20"/>
                <w:szCs w:val="20"/>
              </w:rPr>
            </w:pPr>
            <w:r w:rsidRPr="00FA11F9">
              <w:rPr>
                <w:sz w:val="20"/>
                <w:szCs w:val="20"/>
              </w:rPr>
              <w:t>34,31</w:t>
            </w:r>
          </w:p>
        </w:tc>
        <w:tc>
          <w:tcPr>
            <w:tcW w:w="1046" w:type="dxa"/>
            <w:vAlign w:val="center"/>
          </w:tcPr>
          <w:p w:rsidR="00CD54E9" w:rsidRPr="00FA11F9" w:rsidRDefault="00CD54E9" w:rsidP="006834E9">
            <w:pPr>
              <w:spacing w:after="0" w:line="228" w:lineRule="auto"/>
              <w:jc w:val="center"/>
              <w:rPr>
                <w:sz w:val="20"/>
                <w:szCs w:val="20"/>
              </w:rPr>
            </w:pPr>
            <w:r w:rsidRPr="00FA11F9">
              <w:rPr>
                <w:sz w:val="20"/>
                <w:szCs w:val="20"/>
              </w:rPr>
              <w:t>22,2*</w:t>
            </w:r>
          </w:p>
        </w:tc>
        <w:tc>
          <w:tcPr>
            <w:tcW w:w="1302" w:type="dxa"/>
            <w:vAlign w:val="center"/>
          </w:tcPr>
          <w:p w:rsidR="00CD54E9" w:rsidRPr="00FA11F9" w:rsidRDefault="00CD54E9" w:rsidP="006834E9">
            <w:pPr>
              <w:spacing w:after="0" w:line="228" w:lineRule="auto"/>
              <w:jc w:val="center"/>
              <w:rPr>
                <w:sz w:val="20"/>
                <w:szCs w:val="20"/>
              </w:rPr>
            </w:pPr>
            <w:r w:rsidRPr="00FA11F9">
              <w:rPr>
                <w:sz w:val="20"/>
                <w:szCs w:val="20"/>
              </w:rPr>
              <w:t>32,7**</w:t>
            </w:r>
          </w:p>
        </w:tc>
        <w:tc>
          <w:tcPr>
            <w:tcW w:w="1620" w:type="dxa"/>
            <w:vAlign w:val="center"/>
          </w:tcPr>
          <w:p w:rsidR="00CD54E9" w:rsidRPr="00FA11F9" w:rsidRDefault="00CD54E9" w:rsidP="006834E9">
            <w:pPr>
              <w:spacing w:after="0" w:line="228" w:lineRule="auto"/>
              <w:jc w:val="center"/>
              <w:rPr>
                <w:sz w:val="20"/>
                <w:szCs w:val="20"/>
              </w:rPr>
            </w:pPr>
            <w:r w:rsidRPr="00FA11F9">
              <w:rPr>
                <w:sz w:val="20"/>
                <w:szCs w:val="20"/>
              </w:rPr>
              <w:t>32,9**</w:t>
            </w:r>
          </w:p>
        </w:tc>
      </w:tr>
    </w:tbl>
    <w:p w:rsidR="00CD54E9" w:rsidRPr="00FA11F9" w:rsidRDefault="00CD54E9" w:rsidP="008E2269">
      <w:pPr>
        <w:pStyle w:val="NoSpacing"/>
        <w:spacing w:line="228" w:lineRule="auto"/>
        <w:ind w:firstLine="567"/>
        <w:jc w:val="both"/>
        <w:rPr>
          <w:rFonts w:ascii="Times New Roman" w:hAnsi="Times New Roman"/>
          <w:sz w:val="20"/>
          <w:szCs w:val="20"/>
          <w:lang w:val="en-US"/>
        </w:rPr>
      </w:pPr>
    </w:p>
    <w:p w:rsidR="00CD54E9" w:rsidRPr="00FA11F9" w:rsidRDefault="00CD54E9" w:rsidP="008E2269">
      <w:pPr>
        <w:pStyle w:val="NoSpacing"/>
        <w:tabs>
          <w:tab w:val="left" w:pos="1560"/>
        </w:tabs>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Примітки: </w:t>
      </w:r>
      <w:r w:rsidRPr="00FA11F9">
        <w:rPr>
          <w:rFonts w:ascii="Times New Roman" w:hAnsi="Times New Roman"/>
          <w:sz w:val="20"/>
          <w:szCs w:val="20"/>
        </w:rPr>
        <w:tab/>
        <w:t xml:space="preserve">* Р&lt;0,05 щодо інтактних тварин; </w:t>
      </w:r>
    </w:p>
    <w:p w:rsidR="00CD54E9" w:rsidRPr="00FA11F9" w:rsidRDefault="00CD54E9" w:rsidP="008E2269">
      <w:pPr>
        <w:pStyle w:val="NoSpacing"/>
        <w:tabs>
          <w:tab w:val="left" w:pos="1560"/>
        </w:tabs>
        <w:spacing w:line="228" w:lineRule="auto"/>
        <w:ind w:firstLine="567"/>
        <w:jc w:val="both"/>
        <w:rPr>
          <w:rFonts w:ascii="Times New Roman" w:hAnsi="Times New Roman"/>
          <w:sz w:val="20"/>
          <w:szCs w:val="20"/>
        </w:rPr>
      </w:pPr>
      <w:r w:rsidRPr="00FA11F9">
        <w:rPr>
          <w:rFonts w:ascii="Times New Roman" w:hAnsi="Times New Roman"/>
          <w:sz w:val="20"/>
          <w:szCs w:val="20"/>
        </w:rPr>
        <w:tab/>
        <w:t>** Р&lt;0,05 щодо натрію фториду та фторурацилу.</w:t>
      </w:r>
    </w:p>
    <w:p w:rsidR="00CD54E9" w:rsidRPr="00FA11F9" w:rsidRDefault="00CD54E9" w:rsidP="008E2269">
      <w:pPr>
        <w:tabs>
          <w:tab w:val="left" w:pos="851"/>
        </w:tabs>
        <w:spacing w:after="0" w:line="228" w:lineRule="auto"/>
        <w:ind w:firstLine="567"/>
        <w:jc w:val="both"/>
        <w:rPr>
          <w:sz w:val="20"/>
          <w:szCs w:val="20"/>
        </w:rPr>
      </w:pP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 xml:space="preserve">За доксорубіцинової кардіоміопатії яктон і мексикор підвищують активність СОД на 28% і 27%, активність ГПР – на 20% і 18%, ГР – в 1,9 та 1,8 рази, вміст білка цитоплазми – на 27% і 26%, вміст білку мітохондрій – на 64% і 65%, коефіцієнта білок/сечовина – на 47% і 48%, знижуючи концентрацію АФГ на 30% і 29%, КФГ – на 53% і 52%. Яктон і месикор, порівняно з інтоксикацією доксорубіцином, підвищують вміст показників, які характеризують антиоксидантний захист і протеїнсинтез (концентрацію цитоплазматичного, мітохондріального білку, коефіцієнта білок/сечовина). Нормалізація вмісту білку в цитоплазмі та мітохондріях під дією препаратів підтверджує їх репаративні властивості. </w:t>
      </w:r>
    </w:p>
    <w:p w:rsidR="00CD54E9" w:rsidRPr="008E2269" w:rsidRDefault="00CD54E9" w:rsidP="008E2269">
      <w:pPr>
        <w:tabs>
          <w:tab w:val="left" w:pos="851"/>
        </w:tabs>
        <w:spacing w:after="0" w:line="228" w:lineRule="auto"/>
        <w:ind w:firstLine="567"/>
        <w:jc w:val="both"/>
        <w:rPr>
          <w:sz w:val="20"/>
          <w:szCs w:val="20"/>
        </w:rPr>
      </w:pPr>
      <w:r w:rsidRPr="00FA11F9">
        <w:rPr>
          <w:sz w:val="20"/>
          <w:szCs w:val="20"/>
        </w:rPr>
        <w:t>Подібна спрямованість дії яктону спостерігалася за фторидної інтоксикації фторурацилом і натрію фторидом. Доцільність призначення яктону з доксорубіцином і фторидами обумовлена його ергогенною дією. У міокарді щурів з ДОК порушуються процеси енергосинтезу, про що свідчить зниження рівня АТФ на 43% та збільшення вмісту АМФ (аденозинмонофосфату) вдвічі. Концентрація АДФ вірогідно не змінюється. Отримані дані свідчать про порушення процесів енергопродукції в міокарді щурів з ДОК</w:t>
      </w:r>
      <w:r w:rsidRPr="008E2269">
        <w:rPr>
          <w:sz w:val="20"/>
          <w:szCs w:val="20"/>
          <w:lang w:val="ru-RU"/>
        </w:rPr>
        <w:t xml:space="preserve"> </w:t>
      </w:r>
      <w:r w:rsidRPr="00FA11F9">
        <w:rPr>
          <w:sz w:val="20"/>
          <w:szCs w:val="20"/>
        </w:rPr>
        <w:t>(рис. 1). Разом з тим, змінюється активність ферменту креатинфосфокінази, що бере участь у перенесенні енергії: за доксорубіцинової кардіоміопатії активність КФК у цитозолі падає вдвічі, в мітохондріях – на 45%. При цьому зростає вміст ізоензиму МВ-КФК у сироватці крові. Аналогічні зміни показників аденілової системи й активності креатинфосфокінази спостерігаються в разі фторидних інтоксикацій.</w:t>
      </w:r>
    </w:p>
    <w:p w:rsidR="00CD54E9" w:rsidRPr="008E2269" w:rsidRDefault="00CD54E9" w:rsidP="008E2269">
      <w:pPr>
        <w:tabs>
          <w:tab w:val="left" w:pos="851"/>
        </w:tabs>
        <w:spacing w:after="0" w:line="228" w:lineRule="auto"/>
        <w:ind w:firstLine="567"/>
        <w:jc w:val="both"/>
        <w:rPr>
          <w:sz w:val="20"/>
          <w:szCs w:val="20"/>
        </w:rPr>
      </w:pPr>
      <w:r>
        <w:rPr>
          <w:noProof/>
          <w:lang w:val="en-US"/>
        </w:rPr>
        <w:pict>
          <v:shapetype id="_x0000_t32" coordsize="21600,21600" o:spt="32" o:oned="t" path="m,l21600,21600e" filled="f">
            <v:path arrowok="t" fillok="f" o:connecttype="none"/>
            <o:lock v:ext="edit" shapetype="t"/>
          </v:shapetype>
          <v:shape id="_x0000_s1027" type="#_x0000_t32" style="position:absolute;left:0;text-align:left;margin-left:1.5pt;margin-top:10.6pt;width:324.4pt;height:0;z-index:251656704" o:connectortype="straight"/>
        </w:pict>
      </w:r>
    </w:p>
    <w:p w:rsidR="00CD54E9" w:rsidRPr="00FA11F9" w:rsidRDefault="00CD54E9" w:rsidP="008E2269">
      <w:pPr>
        <w:pStyle w:val="NoSpacing"/>
        <w:spacing w:line="228" w:lineRule="auto"/>
        <w:jc w:val="both"/>
        <w:rPr>
          <w:rFonts w:ascii="Times New Roman" w:hAnsi="Times New Roman"/>
          <w:b/>
          <w:sz w:val="20"/>
          <w:szCs w:val="20"/>
        </w:rPr>
      </w:pPr>
      <w:r w:rsidRPr="00D407C3">
        <w:rPr>
          <w:rFonts w:ascii="Times New Roman" w:hAnsi="Times New Roman"/>
          <w:b/>
          <w:noProof/>
          <w:sz w:val="20"/>
          <w:szCs w:val="20"/>
          <w:lang w:val="ru-RU" w:eastAsia="ru-RU"/>
        </w:rPr>
        <w:object w:dxaOrig="6500" w:dyaOrig="3533">
          <v:shape id="Диаграмма 11" o:spid="_x0000_i1025" type="#_x0000_t75" style="width:321.75pt;height:177pt;visibility:visible" o:ole="">
            <v:imagedata r:id="rId6" o:title="" cropbottom="-74f"/>
            <o:lock v:ext="edit" aspectratio="f"/>
          </v:shape>
          <o:OLEObject Type="Embed" ProgID="Excel.Chart.8" ShapeID="Диаграмма 11" DrawAspect="Content" ObjectID="_1539949407" r:id="rId7"/>
        </w:object>
      </w:r>
    </w:p>
    <w:p w:rsidR="00CD54E9" w:rsidRPr="00FA11F9" w:rsidRDefault="00CD54E9" w:rsidP="008E2269">
      <w:pPr>
        <w:pStyle w:val="NoSpacing"/>
        <w:spacing w:line="228" w:lineRule="auto"/>
        <w:ind w:firstLine="567"/>
        <w:jc w:val="both"/>
        <w:rPr>
          <w:rFonts w:ascii="Times New Roman" w:hAnsi="Times New Roman"/>
          <w:sz w:val="20"/>
          <w:szCs w:val="20"/>
          <w:lang w:val="en-US"/>
        </w:rPr>
      </w:pP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 xml:space="preserve">Рис. 1. Вплив яктону та мексикору на вміст аденілових нуклеотидів у міокарді щурів за доксорубіцинової кардіоміопатії </w:t>
      </w:r>
    </w:p>
    <w:p w:rsidR="00CD54E9" w:rsidRPr="00FA11F9" w:rsidRDefault="00CD54E9" w:rsidP="008E2269">
      <w:pPr>
        <w:pStyle w:val="NoSpacing"/>
        <w:spacing w:line="228" w:lineRule="auto"/>
        <w:ind w:firstLine="567"/>
        <w:jc w:val="both"/>
        <w:rPr>
          <w:rFonts w:ascii="Times New Roman" w:hAnsi="Times New Roman"/>
          <w:sz w:val="20"/>
          <w:szCs w:val="20"/>
        </w:rPr>
      </w:pPr>
    </w:p>
    <w:p w:rsidR="00CD54E9" w:rsidRPr="00FA11F9" w:rsidRDefault="00CD54E9" w:rsidP="008E2269">
      <w:pPr>
        <w:pStyle w:val="NoSpacing"/>
        <w:spacing w:line="228" w:lineRule="auto"/>
        <w:ind w:firstLine="567"/>
        <w:jc w:val="both"/>
        <w:rPr>
          <w:rFonts w:ascii="Times New Roman" w:hAnsi="Times New Roman"/>
          <w:sz w:val="20"/>
          <w:szCs w:val="20"/>
        </w:rPr>
      </w:pP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 xml:space="preserve">Крім того, в разі доксорубіцинової кардіоміопатії і фторидних інтоксикацій зменшується активність цитохром-С-оксидази в міокарді, що свідчить про порушення активності ферментів дихального ланцюга. Яктон і мексикор нормалізують як вміст компонентів аденілової системи, так і активність КФК, цитохром-С-оксидази за патологічних станів, що, можливо, пов’язано з субстратною роллю сукцинату (рис. 2). </w:t>
      </w:r>
    </w:p>
    <w:p w:rsidR="00CD54E9" w:rsidRPr="00FA11F9" w:rsidRDefault="00CD54E9" w:rsidP="008E2269">
      <w:pPr>
        <w:pStyle w:val="NoSpacing"/>
        <w:spacing w:line="228" w:lineRule="auto"/>
        <w:ind w:firstLine="567"/>
        <w:jc w:val="both"/>
        <w:rPr>
          <w:rFonts w:ascii="Times New Roman" w:hAnsi="Times New Roman"/>
          <w:sz w:val="20"/>
          <w:szCs w:val="20"/>
        </w:rPr>
      </w:pPr>
    </w:p>
    <w:p w:rsidR="00CD54E9" w:rsidRPr="00FA11F9" w:rsidRDefault="00CD54E9" w:rsidP="008E2269">
      <w:pPr>
        <w:pStyle w:val="NoSpacing"/>
        <w:spacing w:line="228" w:lineRule="auto"/>
        <w:jc w:val="both"/>
        <w:rPr>
          <w:rFonts w:ascii="Times New Roman" w:hAnsi="Times New Roman"/>
          <w:sz w:val="20"/>
          <w:szCs w:val="20"/>
        </w:rPr>
      </w:pPr>
      <w:r>
        <w:rPr>
          <w:noProof/>
          <w:lang w:val="en-US"/>
        </w:rPr>
        <w:pict>
          <v:shape id="_x0000_s1028" type="#_x0000_t32" style="position:absolute;left:0;text-align:left;margin-left:1.6pt;margin-top:186.8pt;width:325.5pt;height:0;z-index:251658752" o:connectortype="straight"/>
        </w:pict>
      </w:r>
      <w:r>
        <w:rPr>
          <w:noProof/>
          <w:lang w:val="en-US"/>
        </w:rPr>
        <w:pict>
          <v:shape id="_x0000_s1029" type="#_x0000_t32" style="position:absolute;left:0;text-align:left;margin-left:1.1pt;margin-top:.25pt;width:325.7pt;height:0;z-index:251657728" o:connectortype="straight"/>
        </w:pict>
      </w:r>
      <w:r w:rsidRPr="00D407C3">
        <w:rPr>
          <w:rFonts w:ascii="Times New Roman" w:hAnsi="Times New Roman"/>
          <w:noProof/>
          <w:sz w:val="20"/>
          <w:szCs w:val="20"/>
          <w:lang w:val="ru-RU" w:eastAsia="ru-RU"/>
        </w:rPr>
        <w:object w:dxaOrig="6538" w:dyaOrig="3764">
          <v:shape id="Диаграмма 13" o:spid="_x0000_i1026" type="#_x0000_t75" style="width:327pt;height:188.25pt;visibility:visible" o:ole="">
            <v:imagedata r:id="rId8" o:title=""/>
            <o:lock v:ext="edit" aspectratio="f"/>
          </v:shape>
          <o:OLEObject Type="Embed" ProgID="Excel.Chart.8" ShapeID="Диаграмма 13" DrawAspect="Content" ObjectID="_1539949408" r:id="rId9"/>
        </w:object>
      </w:r>
    </w:p>
    <w:p w:rsidR="00CD54E9" w:rsidRPr="00FA11F9" w:rsidRDefault="00CD54E9" w:rsidP="008E2269">
      <w:pPr>
        <w:pStyle w:val="NoSpacing"/>
        <w:spacing w:line="228" w:lineRule="auto"/>
        <w:ind w:firstLine="567"/>
        <w:jc w:val="both"/>
        <w:rPr>
          <w:rFonts w:ascii="Times New Roman" w:hAnsi="Times New Roman"/>
          <w:sz w:val="20"/>
          <w:szCs w:val="20"/>
          <w:lang w:val="en-US"/>
        </w:rPr>
      </w:pPr>
    </w:p>
    <w:p w:rsidR="00CD54E9" w:rsidRPr="00FA11F9" w:rsidRDefault="00CD54E9" w:rsidP="008E2269">
      <w:pPr>
        <w:pStyle w:val="NoSpacing"/>
        <w:spacing w:line="228" w:lineRule="auto"/>
        <w:ind w:firstLine="567"/>
        <w:jc w:val="both"/>
        <w:rPr>
          <w:rFonts w:ascii="Times New Roman" w:hAnsi="Times New Roman"/>
          <w:sz w:val="20"/>
          <w:szCs w:val="20"/>
        </w:rPr>
      </w:pPr>
      <w:r w:rsidRPr="00FA11F9">
        <w:rPr>
          <w:rFonts w:ascii="Times New Roman" w:hAnsi="Times New Roman"/>
          <w:sz w:val="20"/>
          <w:szCs w:val="20"/>
        </w:rPr>
        <w:t>Рис. 2. Вплив яктону та мексикору на активність КФК у міокарді та ізоензиму КФК (МВ-КФК) – в сироватці крові щурів при доксорубіциновій кардіоміопатії</w:t>
      </w:r>
    </w:p>
    <w:p w:rsidR="00CD54E9" w:rsidRPr="00FA11F9" w:rsidRDefault="00CD54E9" w:rsidP="008E2269">
      <w:pPr>
        <w:pStyle w:val="NoSpacing"/>
        <w:spacing w:line="228" w:lineRule="auto"/>
        <w:ind w:firstLine="567"/>
        <w:jc w:val="both"/>
        <w:rPr>
          <w:rFonts w:ascii="Times New Roman" w:hAnsi="Times New Roman"/>
          <w:sz w:val="20"/>
          <w:szCs w:val="20"/>
        </w:rPr>
      </w:pP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Розвиток доксорубіцинової кардіоміопатії супроводжується порушеннями показників системи гліколізу: вміст пірувату знижується на 44%, ізоцитрату – на 38%, малату – на 47%, що демонструє зменшення продукції енергії в міокарді щурів за цієї патології альтернативними шляхами. Крім того, зменшення вмісту малату свідчить про порушення процесів окиснення на дикарбоновій ділянці в циклі Кребса, а рівня ізоцитрату – про порушення процесів окиснення на 3-карбоновій ділянці циклу Кребса. Зниження активності НАД-залежної малатдегідрогенази на 31% може обумовлювати пригнічення активності малат-аспартатного шунта, що супроводжує патологічні процеси в кардіоміоцитах (ішемію, гіпоксію, кардіоміопатію), порушуються вміст та співвідношення глутамату і аспартату, що також свідчить про зміни активності малатдегідрогенази. Разом з пригніченням енергопродукуючої ролі гліколізу зростає вміст лактату на 67%, що підтверджує розвиток ацидозу на фоні доксорубіцинової кардіоміопатії. За даної патології також порушуються процеси глюконеогенезу та глікогенолізу, що доведено падінням вмісту глікогену в 4,7 та глюкозо-6-фосфату – в 2,1 рази в кардіоміоцитах. Отримані дані підтверджують відомості літератури щодо порушення процесів енергозабезпечення скоротливої функції міокарда за доксорубіцинової кардіоміопатії. У випадку фторидних інтоксикацій спостерігається подібна спрямованість порушень вищезазначених біохімічних показників. Яктон і мексикор при цьому проявляють односпрямовану кардіопротекторну дію за всіх модельних патологічних станів. Зміни енергетичного і окиснювального метаболізму в разі доксорубіцинової кардіоміопатії та фторидних інтоксикацій спричинюють розвиток мітохондріальної дисфункції. Яктон і мексикор завдяки антиоксидантній та енерготропній дії, активізуючому впливу на малат-аспартатний шунт проявляють мітопротекторну активність, запобігаючи відкриттю мітохондріальної пори, та збільшують мембранний потенціал мітохондрій.</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 xml:space="preserve">За доксорубіцинової кардіоміопатії порушується цілісність ендотелію судин і це супроводжується змінами ендотелійрелаксуючого фактору (оксиду азоту), активності ферменту NO-синтази та показників, що свідчать про порушення транспорту оксиду азоту [Голиков П.П., 2004]. Нами встановлено, що в разі доксорубіцинової кардіоміопатії та фторидних інтоксикацій порушуються також показники NO і тіол-дисульфідної системи. У випадку доксорубіцинової кардіоміопатії активність ферменту NO-синтази знижувалася на 55%, інтоксикації фторурацилом – на 41%, інтоксикації натрію фторидом – на 29%. </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 xml:space="preserve">Визначено зниження продукції стабільних метаболітів оксиду азоту – нітратів на тлі вираженого дефіциту синтезу L-аргініну. За доксорубіцинової кардіоміопатії спостерігалося також падіння рівня </w:t>
      </w:r>
      <w:r w:rsidRPr="00FA11F9">
        <w:rPr>
          <w:sz w:val="20"/>
          <w:szCs w:val="20"/>
        </w:rPr>
        <w:br/>
        <w:t>L-аргініну в 1,9 рази, при інтоксикації фторурацилом – на 27%, при інтоксикації натрію фторидом – на 22%. Паралельно реєструвалося порушення транспорту оксиду азоту – зниження рівня тіовмісних амінокислот і сумарної кількості відновлених тіолів білкових молекул. За доксорубіцинової кардіоміопатії рівень цистеїну знижувався на 52%, метіоніну – на 36%, загальних відновлених тіогруп – у 1,8 рази. Рівень нітротирозину підвищується у випадку доксорубіцинової кардіоміопатії в 2,6, інтоксикації фторурацилом – в 2,3 рази, інтоксикації натрію фторидом – в 2,1 рази. Яктон за доксорубіцинової і фторидної кардіоміопатії певною мірою відновлював активність NO-синтази і рівень L-аргініну, а також надавав захисну дію щодо транспорту NO, за рахунок збереження відновлених тіолів.</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 xml:space="preserve">Квантово-фармакологічні дослідження показують, що яктон має широкий спектр лікувальної дії, здатність реагувати з позитивно зарядженими фрагментами біологічно активних речовин і протонами, що є основою його дії на активність ферментів. Проведені фармакологічні, біологічні та квантово-хімічні дослідження препарату стверджують наявність кардіопротекторних властивостей як за доксорубіцинової кардіоміопатії, так і фторидних інтоксикацій і демонструють доцільність призначення сукцинвмісних сполук у комплексній протипухлинній фармакотерапії разом з антрацикліновими антибіотиками та фторвмісними антиметаболітами. </w:t>
      </w:r>
    </w:p>
    <w:p w:rsidR="00CD54E9" w:rsidRPr="008E2269" w:rsidRDefault="00CD54E9" w:rsidP="008E2269">
      <w:pPr>
        <w:tabs>
          <w:tab w:val="left" w:pos="851"/>
        </w:tabs>
        <w:spacing w:after="0" w:line="228" w:lineRule="auto"/>
        <w:ind w:firstLine="567"/>
        <w:jc w:val="center"/>
        <w:rPr>
          <w:b/>
          <w:sz w:val="20"/>
          <w:szCs w:val="20"/>
        </w:rPr>
      </w:pPr>
    </w:p>
    <w:p w:rsidR="00CD54E9" w:rsidRPr="00FA11F9" w:rsidRDefault="00CD54E9" w:rsidP="008E2269">
      <w:pPr>
        <w:spacing w:after="0" w:line="228" w:lineRule="auto"/>
        <w:jc w:val="center"/>
        <w:rPr>
          <w:b/>
          <w:sz w:val="20"/>
          <w:szCs w:val="20"/>
          <w:lang w:val="en-US"/>
        </w:rPr>
      </w:pPr>
      <w:r w:rsidRPr="00FA11F9">
        <w:rPr>
          <w:b/>
          <w:sz w:val="20"/>
          <w:szCs w:val="20"/>
        </w:rPr>
        <w:t>ВИСНОВКИ</w:t>
      </w:r>
    </w:p>
    <w:p w:rsidR="00CD54E9" w:rsidRPr="00FA11F9" w:rsidRDefault="00CD54E9" w:rsidP="008E2269">
      <w:pPr>
        <w:tabs>
          <w:tab w:val="left" w:pos="851"/>
        </w:tabs>
        <w:spacing w:after="0" w:line="228" w:lineRule="auto"/>
        <w:ind w:firstLine="567"/>
        <w:jc w:val="center"/>
        <w:rPr>
          <w:b/>
          <w:sz w:val="20"/>
          <w:szCs w:val="20"/>
          <w:lang w:val="en-US"/>
        </w:rPr>
      </w:pPr>
    </w:p>
    <w:p w:rsidR="00CD54E9" w:rsidRPr="00FA11F9" w:rsidRDefault="00CD54E9" w:rsidP="008E2269">
      <w:pPr>
        <w:pStyle w:val="NoSpacing"/>
        <w:numPr>
          <w:ilvl w:val="0"/>
          <w:numId w:val="9"/>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Яктон понижує гостру токсичність доксорубіцину та натрію фториду в експериментах на мишах: підвищує ДЛ</w:t>
      </w:r>
      <w:r w:rsidRPr="00FA11F9">
        <w:rPr>
          <w:rFonts w:ascii="Times New Roman" w:hAnsi="Times New Roman"/>
          <w:sz w:val="20"/>
          <w:szCs w:val="20"/>
          <w:vertAlign w:val="subscript"/>
        </w:rPr>
        <w:t>50</w:t>
      </w:r>
      <w:r w:rsidRPr="00FA11F9">
        <w:rPr>
          <w:rFonts w:ascii="Times New Roman" w:hAnsi="Times New Roman"/>
          <w:sz w:val="20"/>
          <w:szCs w:val="20"/>
        </w:rPr>
        <w:t xml:space="preserve"> доксорубіцина в 3,8 рази в дозі 140 мг/кг. При введенні яктону в дозі 280 мг/кг ДЛ</w:t>
      </w:r>
      <w:r w:rsidRPr="00FA11F9">
        <w:rPr>
          <w:rFonts w:ascii="Times New Roman" w:hAnsi="Times New Roman"/>
          <w:sz w:val="20"/>
          <w:szCs w:val="20"/>
          <w:vertAlign w:val="subscript"/>
        </w:rPr>
        <w:t>50</w:t>
      </w:r>
      <w:r w:rsidRPr="00FA11F9">
        <w:rPr>
          <w:rFonts w:ascii="Times New Roman" w:hAnsi="Times New Roman"/>
          <w:sz w:val="20"/>
          <w:szCs w:val="20"/>
        </w:rPr>
        <w:t xml:space="preserve"> доксорубіцину зростає в 7 разів. При введенні яктону в дозі 140 мг/кг внутрішньочеревно ДЛ</w:t>
      </w:r>
      <w:r w:rsidRPr="00FA11F9">
        <w:rPr>
          <w:rFonts w:ascii="Times New Roman" w:hAnsi="Times New Roman"/>
          <w:sz w:val="20"/>
          <w:szCs w:val="20"/>
          <w:vertAlign w:val="subscript"/>
        </w:rPr>
        <w:t>50</w:t>
      </w:r>
      <w:r w:rsidRPr="00FA11F9">
        <w:rPr>
          <w:rFonts w:ascii="Times New Roman" w:hAnsi="Times New Roman"/>
          <w:sz w:val="20"/>
          <w:szCs w:val="20"/>
        </w:rPr>
        <w:t xml:space="preserve"> натрію фториду зростає в 4,3 рази, а при введенні в дозі 280 мг/кг ДЛ</w:t>
      </w:r>
      <w:r w:rsidRPr="00FA11F9">
        <w:rPr>
          <w:rFonts w:ascii="Times New Roman" w:hAnsi="Times New Roman"/>
          <w:sz w:val="20"/>
          <w:szCs w:val="20"/>
          <w:vertAlign w:val="subscript"/>
        </w:rPr>
        <w:t>50</w:t>
      </w:r>
      <w:r w:rsidRPr="00FA11F9">
        <w:rPr>
          <w:rFonts w:ascii="Times New Roman" w:hAnsi="Times New Roman"/>
          <w:sz w:val="20"/>
          <w:szCs w:val="20"/>
        </w:rPr>
        <w:t xml:space="preserve"> – в 6,6 рази. Яктон понижує тривалість тіопенталового сну щурів на фоні доксорубіцину, фторурацилу, натрію фториду, що також підтверджує наявність у нього дезінтоксикаційної дії при сумісному застосуванні з антрацикліновими антибіотиками та фторвмісними сполуками. </w:t>
      </w:r>
    </w:p>
    <w:p w:rsidR="00CD54E9" w:rsidRPr="00FA11F9" w:rsidRDefault="00CD54E9" w:rsidP="008E2269">
      <w:pPr>
        <w:pStyle w:val="NoSpacing"/>
        <w:numPr>
          <w:ilvl w:val="0"/>
          <w:numId w:val="9"/>
        </w:numPr>
        <w:tabs>
          <w:tab w:val="left" w:pos="851"/>
        </w:tabs>
        <w:spacing w:line="228" w:lineRule="auto"/>
        <w:ind w:left="0" w:firstLine="567"/>
        <w:jc w:val="both"/>
        <w:rPr>
          <w:rFonts w:ascii="Times New Roman" w:hAnsi="Times New Roman"/>
          <w:sz w:val="20"/>
          <w:szCs w:val="20"/>
        </w:rPr>
      </w:pPr>
      <w:r>
        <w:rPr>
          <w:rFonts w:ascii="Times New Roman" w:hAnsi="Times New Roman"/>
          <w:sz w:val="20"/>
          <w:szCs w:val="20"/>
        </w:rPr>
        <w:t>Попереднє введення</w:t>
      </w:r>
      <w:r w:rsidRPr="00700D52">
        <w:rPr>
          <w:rFonts w:ascii="Times New Roman" w:hAnsi="Times New Roman"/>
          <w:sz w:val="20"/>
          <w:szCs w:val="20"/>
        </w:rPr>
        <w:t xml:space="preserve"> кролям</w:t>
      </w:r>
      <w:r w:rsidRPr="00FA11F9">
        <w:rPr>
          <w:rFonts w:ascii="Times New Roman" w:hAnsi="Times New Roman"/>
          <w:sz w:val="20"/>
          <w:szCs w:val="20"/>
        </w:rPr>
        <w:t xml:space="preserve"> з доксорубіциновою кардіоміопатією яктону в дозі 560 мг/кг викликає кардіопротекторну дію стосовно показників скоротливої активності міокарда: порівняно з нелікованими тваринами – вірогідно підвищується у Рмакс на 32,4%, САТ на 26,1%, РІЛШ на 37%, РУІЛШ на 12,2% відносно дії одного доксорубіцину. Яктон при попередньому введенні проявляє кардіопротекторну дію при інтоксикації фторурацилом та натрію фторидом стосовно показників скоротливої активності міокарда, тобто порівняно з контролем не викликає вірогідних змін Рмакс, САТ, РІЛШ, РУІЛШ, СІ, СИІ, ХОК, УОК. </w:t>
      </w:r>
    </w:p>
    <w:p w:rsidR="00CD54E9" w:rsidRPr="00FA11F9" w:rsidRDefault="00CD54E9" w:rsidP="008E2269">
      <w:pPr>
        <w:pStyle w:val="NoSpacing"/>
        <w:numPr>
          <w:ilvl w:val="0"/>
          <w:numId w:val="9"/>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Яктон, введений до моделювання доксорубіцинової кардіоміопатії та фторидної інтоксикації (фторурацилом, натрію фторидом) має кардіопротективну дію відносно антиоксидантних ферментів (СОД, ГПР, ГР), показників окиснювальної модифікації білків (АФГ, КФГ), протеїнсинтезу (вміст мітохондріального білку) в міокарді щурів.</w:t>
      </w:r>
    </w:p>
    <w:p w:rsidR="00CD54E9" w:rsidRPr="00FA11F9" w:rsidRDefault="00CD54E9" w:rsidP="008E2269">
      <w:pPr>
        <w:pStyle w:val="NoSpacing"/>
        <w:numPr>
          <w:ilvl w:val="0"/>
          <w:numId w:val="9"/>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Яктон та мексикор при доксорубіциновій кардіоміопатії співставимо відновлюють вміст АТФ на 47% та 42% та активність цитохром-С-оксидази в кардіоміоцитах на 37% та 36%, активність креатинфосфокінази в цитозолі на 80% та 70%, мітохондріях міокарда на 60% та 61% і ізоферменту КФК в сироватці крові щурів на 36% та 31%. При фторидній інтоксикації спостерігається аналогічна спрямованість змін під впливом яктону.</w:t>
      </w:r>
    </w:p>
    <w:p w:rsidR="00CD54E9" w:rsidRPr="00FA11F9" w:rsidRDefault="00CD54E9" w:rsidP="008E2269">
      <w:pPr>
        <w:pStyle w:val="NoSpacing"/>
        <w:numPr>
          <w:ilvl w:val="0"/>
          <w:numId w:val="9"/>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Яктон та мексикор при доксорубіциновій кардіоміопатії уповільнюють гальмування активності малат-аспартатного шунта, про що свідчить підвищення активності малатдегідрогенази на 16% та 20%, збільшення вмісту малату 59% та 58%, аспартату на 31% та 25%, глутамату на 28% та 26%, запобігання розвитку ацидозу, активації глюконеогенезу, гліколізу, прояви мітопротекторної дії. При фторидній інтоксикації спрямованість змін під впливом яктону аналогічна.</w:t>
      </w:r>
    </w:p>
    <w:p w:rsidR="00CD54E9" w:rsidRPr="00FA11F9" w:rsidRDefault="00CD54E9" w:rsidP="008E2269">
      <w:pPr>
        <w:pStyle w:val="NoSpacing"/>
        <w:numPr>
          <w:ilvl w:val="0"/>
          <w:numId w:val="9"/>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 xml:space="preserve">Яктон, введений внутрішньоочеревинно щурам до моделювання доксорубіцинової кардіоміопатії та фторидних інтоксикацій (фторурацилом та натрію фторидом) проявляє протективний ефект щодо показників синтезу, транспорту та метаболізму оксиду азоту і тіол-дисульфідної системи, запобігаючи розвитку оксидативного та нітрозуючого стресу. Так, при доксорубіциновій кардіоміопатії яктон підвищує активність </w:t>
      </w:r>
      <w:r w:rsidRPr="00FA11F9">
        <w:rPr>
          <w:rFonts w:ascii="Times New Roman" w:hAnsi="Times New Roman"/>
          <w:sz w:val="20"/>
          <w:szCs w:val="20"/>
        </w:rPr>
        <w:br/>
        <w:t>NO-синтази на 66%, вміст L-аргініну на 56%, метіоніну на 39%, цистеїну на 80%, загальних відновлених SH груп на 48%, понижує рівень нітротирозину на 38%.</w:t>
      </w:r>
    </w:p>
    <w:p w:rsidR="00CD54E9" w:rsidRPr="00FA11F9" w:rsidRDefault="00CD54E9" w:rsidP="008E2269">
      <w:pPr>
        <w:pStyle w:val="NoSpacing"/>
        <w:numPr>
          <w:ilvl w:val="0"/>
          <w:numId w:val="9"/>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На підставі проведених квантово-хімічних розрахунків молекул ДМЕБК та ПДМЕБК встановлено, що похідні бурштинової кислоти мають широкий спектр фармакологічної дії. Аналіз розташування молекулярних орбіталей в ДМЕБК та його протонованій формі, показав, що ці дві частки мають різні електронодонорні та електроноакцепторні центри, які впливають на характер їх взаємодії з біолігандами.</w:t>
      </w:r>
    </w:p>
    <w:p w:rsidR="00CD54E9" w:rsidRPr="00FA11F9" w:rsidRDefault="00CD54E9" w:rsidP="008E2269">
      <w:pPr>
        <w:pStyle w:val="NoSpacing"/>
        <w:spacing w:line="228" w:lineRule="auto"/>
        <w:ind w:firstLine="567"/>
        <w:rPr>
          <w:rFonts w:ascii="Times New Roman" w:hAnsi="Times New Roman"/>
          <w:b/>
          <w:sz w:val="20"/>
          <w:szCs w:val="20"/>
        </w:rPr>
      </w:pPr>
    </w:p>
    <w:p w:rsidR="00CD54E9" w:rsidRPr="00FA11F9" w:rsidRDefault="00CD54E9" w:rsidP="008E2269">
      <w:pPr>
        <w:pStyle w:val="NoSpacing"/>
        <w:spacing w:line="228" w:lineRule="auto"/>
        <w:jc w:val="center"/>
        <w:rPr>
          <w:rFonts w:ascii="Times New Roman" w:hAnsi="Times New Roman"/>
          <w:b/>
          <w:sz w:val="20"/>
          <w:szCs w:val="20"/>
        </w:rPr>
      </w:pPr>
      <w:r w:rsidRPr="00FA11F9">
        <w:rPr>
          <w:rFonts w:ascii="Times New Roman" w:hAnsi="Times New Roman"/>
          <w:b/>
          <w:sz w:val="20"/>
          <w:szCs w:val="20"/>
        </w:rPr>
        <w:t>СПИСОК ПРАЦЬ, ОПУБЛІКОВАНИХ ЗА ТЕМОЮ ДИСЕРТАЦІЇ</w:t>
      </w:r>
    </w:p>
    <w:p w:rsidR="00CD54E9" w:rsidRPr="00FA11F9" w:rsidRDefault="00CD54E9" w:rsidP="008E2269">
      <w:pPr>
        <w:pStyle w:val="NoSpacing"/>
        <w:spacing w:line="228" w:lineRule="auto"/>
        <w:ind w:firstLine="567"/>
        <w:jc w:val="center"/>
        <w:rPr>
          <w:rFonts w:ascii="Times New Roman" w:hAnsi="Times New Roman"/>
          <w:b/>
          <w:sz w:val="20"/>
          <w:szCs w:val="20"/>
        </w:rPr>
      </w:pPr>
    </w:p>
    <w:p w:rsidR="00CD54E9" w:rsidRPr="00FA11F9" w:rsidRDefault="00CD54E9" w:rsidP="008E2269">
      <w:pPr>
        <w:pStyle w:val="NoSpacing"/>
        <w:numPr>
          <w:ilvl w:val="0"/>
          <w:numId w:val="8"/>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Максимчук О. О. Вплив яктону на токсичність доксорубіцину, натрію нітропрусиду, натрію фториду в експериментах на мишах / О. О. Максимчук // Науковий вісник Національного медичного університету імені О. О. Богомольця. – 2006. – № 2. – С. 39–41.</w:t>
      </w:r>
    </w:p>
    <w:p w:rsidR="00CD54E9" w:rsidRPr="00FA11F9" w:rsidRDefault="00CD54E9" w:rsidP="008E2269">
      <w:pPr>
        <w:pStyle w:val="NoSpacing"/>
        <w:numPr>
          <w:ilvl w:val="0"/>
          <w:numId w:val="8"/>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Максимчук О. О. Дослідження квантово-фармакологічних властивостей диетиламіноетилового ефіру янтарної кислоти (яктону і його протонової форми) / О. О. Максимчук, А. Ю. Шермолович, Т. Ю. Небесна, І. С. Чекман // Науковий вісник Національного медичного університету імені О. О. Богомольця. – 2007. – № 1 (11). – С. 36</w:t>
      </w:r>
      <w:r w:rsidRPr="00FA11F9">
        <w:rPr>
          <w:rFonts w:ascii="Times New Roman" w:hAnsi="Times New Roman"/>
          <w:bCs/>
          <w:sz w:val="20"/>
          <w:szCs w:val="20"/>
        </w:rPr>
        <w:t>–</w:t>
      </w:r>
      <w:r w:rsidRPr="00FA11F9">
        <w:rPr>
          <w:rFonts w:ascii="Times New Roman" w:hAnsi="Times New Roman"/>
          <w:sz w:val="20"/>
          <w:szCs w:val="20"/>
        </w:rPr>
        <w:t xml:space="preserve">40. </w:t>
      </w:r>
      <w:r w:rsidRPr="00FA11F9">
        <w:rPr>
          <w:rFonts w:ascii="Times New Roman" w:hAnsi="Times New Roman"/>
          <w:i/>
          <w:sz w:val="20"/>
          <w:szCs w:val="20"/>
        </w:rPr>
        <w:t>(Внесок дисертанта – проведення квантово-хімічних досліджень, збір та аналіз отриманих даних).</w:t>
      </w:r>
    </w:p>
    <w:p w:rsidR="00CD54E9" w:rsidRPr="00FA11F9" w:rsidRDefault="00CD54E9" w:rsidP="008E2269">
      <w:pPr>
        <w:pStyle w:val="NoSpacing"/>
        <w:numPr>
          <w:ilvl w:val="0"/>
          <w:numId w:val="8"/>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Максимчук О. О. Дослідження квантово-фармакологічних властивостей та прогнозування спектру фармаколітичної активності янтарної кислоти / Т. Ю. Небесна, Л. М. Гущіна, І. С. Чекман, С. А. Олійник, О. О. Максимчук // Вісник проблем біології та медицини. – 2009. – Вип. 1. – С. 101</w:t>
      </w:r>
      <w:r w:rsidRPr="00FA11F9">
        <w:rPr>
          <w:rFonts w:ascii="Times New Roman" w:hAnsi="Times New Roman"/>
          <w:bCs/>
          <w:sz w:val="20"/>
          <w:szCs w:val="20"/>
        </w:rPr>
        <w:t>–</w:t>
      </w:r>
      <w:r w:rsidRPr="00FA11F9">
        <w:rPr>
          <w:rFonts w:ascii="Times New Roman" w:hAnsi="Times New Roman"/>
          <w:sz w:val="20"/>
          <w:szCs w:val="20"/>
        </w:rPr>
        <w:t xml:space="preserve">106. </w:t>
      </w:r>
      <w:r w:rsidRPr="00FA11F9">
        <w:rPr>
          <w:rFonts w:ascii="Times New Roman" w:hAnsi="Times New Roman"/>
          <w:i/>
          <w:sz w:val="20"/>
          <w:szCs w:val="20"/>
        </w:rPr>
        <w:t>(Внесок дисертанта – аналітичний огляд літератури, проведення квантово-хімічних досліджень та аналіз отриманих даних, підготовка статті до друку).</w:t>
      </w:r>
    </w:p>
    <w:p w:rsidR="00CD54E9" w:rsidRPr="00FA11F9" w:rsidRDefault="00CD54E9" w:rsidP="008E2269">
      <w:pPr>
        <w:pStyle w:val="ListParagraph"/>
        <w:numPr>
          <w:ilvl w:val="0"/>
          <w:numId w:val="8"/>
        </w:numPr>
        <w:tabs>
          <w:tab w:val="left" w:pos="851"/>
        </w:tabs>
        <w:spacing w:line="228" w:lineRule="auto"/>
        <w:ind w:left="0" w:firstLine="567"/>
        <w:jc w:val="both"/>
        <w:rPr>
          <w:caps/>
          <w:sz w:val="20"/>
          <w:szCs w:val="20"/>
        </w:rPr>
      </w:pPr>
      <w:r w:rsidRPr="00FA11F9">
        <w:rPr>
          <w:sz w:val="20"/>
          <w:szCs w:val="20"/>
        </w:rPr>
        <w:t>Максимчук О. О. Біохімічні моделі оцінки кардіопротекторної дії біологічно активних сполук / І. С. Чекман, В. Ю. Дяченко, О. О. Максимчук // Актуальні проблеми сучасної медицини. Вісник Української медичної стоматологічної академії. – 2009. – Т. 9, вип. 2 (26). – С. 134</w:t>
      </w:r>
      <w:r w:rsidRPr="00FA11F9">
        <w:rPr>
          <w:bCs/>
          <w:sz w:val="20"/>
          <w:szCs w:val="20"/>
        </w:rPr>
        <w:t>–</w:t>
      </w:r>
      <w:r w:rsidRPr="00FA11F9">
        <w:rPr>
          <w:sz w:val="20"/>
          <w:szCs w:val="20"/>
        </w:rPr>
        <w:t xml:space="preserve">136. </w:t>
      </w:r>
      <w:r w:rsidRPr="00FA11F9">
        <w:rPr>
          <w:i/>
          <w:sz w:val="20"/>
          <w:szCs w:val="20"/>
        </w:rPr>
        <w:t>(Внесок дисертанта – участь в обговоренні результатів, підготовка статті до друку).</w:t>
      </w:r>
    </w:p>
    <w:p w:rsidR="00CD54E9" w:rsidRPr="00FA11F9" w:rsidRDefault="00CD54E9" w:rsidP="008E2269">
      <w:pPr>
        <w:pStyle w:val="ListParagraph"/>
        <w:numPr>
          <w:ilvl w:val="0"/>
          <w:numId w:val="8"/>
        </w:numPr>
        <w:tabs>
          <w:tab w:val="left" w:pos="851"/>
        </w:tabs>
        <w:spacing w:line="228" w:lineRule="auto"/>
        <w:ind w:left="0" w:firstLine="567"/>
        <w:jc w:val="both"/>
        <w:rPr>
          <w:sz w:val="20"/>
          <w:szCs w:val="20"/>
        </w:rPr>
      </w:pPr>
      <w:r w:rsidRPr="00FA11F9">
        <w:rPr>
          <w:sz w:val="20"/>
          <w:szCs w:val="20"/>
        </w:rPr>
        <w:t>Максимчук О. О. Вплив яктону на діяльність серця і показники системної гемодинаміки у кролів при інтоксикації натрію фториду / О. О. Максимчук // Науковий вісник Національного медичного університету імені О. О. Богомольця. – 2009. – № 2 (23). – С. 46–48.</w:t>
      </w:r>
    </w:p>
    <w:p w:rsidR="00CD54E9" w:rsidRPr="00FA11F9" w:rsidRDefault="00CD54E9" w:rsidP="008E2269">
      <w:pPr>
        <w:pStyle w:val="ListParagraph"/>
        <w:numPr>
          <w:ilvl w:val="0"/>
          <w:numId w:val="8"/>
        </w:numPr>
        <w:tabs>
          <w:tab w:val="left" w:pos="851"/>
        </w:tabs>
        <w:spacing w:line="228" w:lineRule="auto"/>
        <w:ind w:left="0" w:firstLine="567"/>
        <w:jc w:val="both"/>
        <w:rPr>
          <w:caps/>
          <w:sz w:val="20"/>
          <w:szCs w:val="20"/>
        </w:rPr>
      </w:pPr>
      <w:r w:rsidRPr="00FA11F9">
        <w:rPr>
          <w:sz w:val="20"/>
          <w:szCs w:val="20"/>
        </w:rPr>
        <w:t>Максимчук О. О. Вплив яктону на показники метаболізму NO в міокарді щурів при доксорубіциновій кардіоміопатії / О. О. Максимчук, І. С. Чекман, Н. О. Горчакова, І. Ф. Бєленічев // Український науково-медичний молодіжний журнал. – 2010. – № 3–4. – С. 38</w:t>
      </w:r>
      <w:r w:rsidRPr="00FA11F9">
        <w:rPr>
          <w:bCs/>
          <w:sz w:val="20"/>
          <w:szCs w:val="20"/>
        </w:rPr>
        <w:t>–</w:t>
      </w:r>
      <w:r w:rsidRPr="00FA11F9">
        <w:rPr>
          <w:sz w:val="20"/>
          <w:szCs w:val="20"/>
        </w:rPr>
        <w:t xml:space="preserve">41. </w:t>
      </w:r>
      <w:r w:rsidRPr="00FA11F9">
        <w:rPr>
          <w:i/>
          <w:sz w:val="20"/>
          <w:szCs w:val="20"/>
        </w:rPr>
        <w:t>(Внесок дисертанта – формулювання мети, участь у проведенні експерименту, збір та статистичний аналіз отриманих даних, підготовка статті до друку).</w:t>
      </w:r>
    </w:p>
    <w:p w:rsidR="00CD54E9" w:rsidRPr="00FA11F9" w:rsidRDefault="00CD54E9" w:rsidP="008E2269">
      <w:pPr>
        <w:pStyle w:val="ListParagraph"/>
        <w:numPr>
          <w:ilvl w:val="0"/>
          <w:numId w:val="8"/>
        </w:numPr>
        <w:tabs>
          <w:tab w:val="left" w:pos="851"/>
        </w:tabs>
        <w:spacing w:line="228" w:lineRule="auto"/>
        <w:ind w:left="0" w:firstLine="567"/>
        <w:jc w:val="both"/>
        <w:rPr>
          <w:sz w:val="20"/>
          <w:szCs w:val="20"/>
        </w:rPr>
      </w:pPr>
      <w:r w:rsidRPr="00FA11F9">
        <w:rPr>
          <w:sz w:val="20"/>
          <w:szCs w:val="20"/>
        </w:rPr>
        <w:t xml:space="preserve">Максимчук О. О. Експериментальне обґрунтування застосування яктону для корекції мітохондріальної дисфункції в умовах доксорубіцинової кардіоміопатії / І. С. Чекман, І. О. Горчакова, І. Ф. Бєленічев, О. О. Максимчук, С. В. Павлов // Доповіді Національної Академії наук України. – 2010. – № 5. – С.193–198. </w:t>
      </w:r>
      <w:r w:rsidRPr="00FA11F9">
        <w:rPr>
          <w:i/>
          <w:sz w:val="20"/>
          <w:szCs w:val="20"/>
        </w:rPr>
        <w:t>(Внесок дисертанта –проведення квантово-хімічних досліджень, систематизація матеріалу, участь у статистичній обробці результатів, підготовка статті до друку).</w:t>
      </w:r>
    </w:p>
    <w:p w:rsidR="00CD54E9" w:rsidRPr="00FA11F9" w:rsidRDefault="00CD54E9" w:rsidP="008E2269">
      <w:pPr>
        <w:pStyle w:val="ListParagraph"/>
        <w:numPr>
          <w:ilvl w:val="0"/>
          <w:numId w:val="8"/>
        </w:numPr>
        <w:tabs>
          <w:tab w:val="left" w:pos="851"/>
        </w:tabs>
        <w:spacing w:line="228" w:lineRule="auto"/>
        <w:ind w:left="0" w:firstLine="567"/>
        <w:jc w:val="both"/>
        <w:rPr>
          <w:caps/>
          <w:sz w:val="20"/>
          <w:szCs w:val="20"/>
        </w:rPr>
      </w:pPr>
      <w:r w:rsidRPr="00FA11F9">
        <w:rPr>
          <w:sz w:val="20"/>
          <w:szCs w:val="20"/>
        </w:rPr>
        <w:t>Максимчук О. О. Вплив яктону на показники прооксидантно-антиоксидантного гомеостазу та протеїнсинтезу у щурів при фторидній інтоксикації / І. С. Чекман, О. О. Максимчук, Н. О. Горчакова, І. Ф. Бєленічев,  С. В. Павлов // Науковий вісник Національного медичного університету імені О. О. Богомольця – 2011. – № 1 (32). – С. 49</w:t>
      </w:r>
      <w:r w:rsidRPr="00FA11F9">
        <w:rPr>
          <w:bCs/>
          <w:sz w:val="20"/>
          <w:szCs w:val="20"/>
        </w:rPr>
        <w:t>–</w:t>
      </w:r>
      <w:r w:rsidRPr="00FA11F9">
        <w:rPr>
          <w:sz w:val="20"/>
          <w:szCs w:val="20"/>
        </w:rPr>
        <w:t>54.</w:t>
      </w:r>
      <w:r w:rsidRPr="00FA11F9">
        <w:rPr>
          <w:i/>
          <w:sz w:val="20"/>
          <w:szCs w:val="20"/>
        </w:rPr>
        <w:t xml:space="preserve"> (Внесок дисертанта – проведення досліджень, аналіз літератури).</w:t>
      </w:r>
    </w:p>
    <w:p w:rsidR="00CD54E9" w:rsidRPr="00FA11F9" w:rsidRDefault="00CD54E9" w:rsidP="008E2269">
      <w:pPr>
        <w:pStyle w:val="NoSpacing"/>
        <w:numPr>
          <w:ilvl w:val="0"/>
          <w:numId w:val="8"/>
        </w:numPr>
        <w:tabs>
          <w:tab w:val="left" w:pos="851"/>
        </w:tabs>
        <w:spacing w:line="228" w:lineRule="auto"/>
        <w:ind w:left="0" w:firstLine="567"/>
        <w:jc w:val="both"/>
        <w:rPr>
          <w:rFonts w:ascii="Times New Roman" w:hAnsi="Times New Roman"/>
          <w:sz w:val="20"/>
          <w:szCs w:val="20"/>
        </w:rPr>
      </w:pPr>
      <w:r w:rsidRPr="00FA11F9">
        <w:rPr>
          <w:rFonts w:ascii="Times New Roman" w:hAnsi="Times New Roman"/>
          <w:sz w:val="20"/>
          <w:szCs w:val="20"/>
        </w:rPr>
        <w:t xml:space="preserve">Максимчук О. О. Комплексоутворення доксорубіцину з бичачим сироватковим альбуміном / Н. О. Горчакова, І. С. Чекман, Н. М. Власова, Л. П. Головкова, І. І. Геращенко, О. О. Максимчук // Доповіді Національної Академії наук України. – 2011. – № 4. – С. 177–181. </w:t>
      </w:r>
      <w:r w:rsidRPr="00FA11F9">
        <w:rPr>
          <w:rFonts w:ascii="Times New Roman" w:hAnsi="Times New Roman"/>
          <w:i/>
          <w:sz w:val="20"/>
          <w:szCs w:val="20"/>
        </w:rPr>
        <w:t>(Внесок дисертанта – формулювання мети, виконання експериментальних досліджень, систематизація матеріалу, підготовка статті до друку).</w:t>
      </w:r>
    </w:p>
    <w:p w:rsidR="00CD54E9" w:rsidRPr="00FA11F9" w:rsidRDefault="00CD54E9" w:rsidP="008E2269">
      <w:pPr>
        <w:pStyle w:val="ListParagraph"/>
        <w:numPr>
          <w:ilvl w:val="0"/>
          <w:numId w:val="8"/>
        </w:numPr>
        <w:tabs>
          <w:tab w:val="left" w:pos="993"/>
        </w:tabs>
        <w:spacing w:line="228" w:lineRule="auto"/>
        <w:ind w:left="0" w:firstLine="567"/>
        <w:jc w:val="both"/>
        <w:rPr>
          <w:caps/>
          <w:sz w:val="20"/>
          <w:szCs w:val="20"/>
        </w:rPr>
      </w:pPr>
      <w:r w:rsidRPr="00FA11F9">
        <w:rPr>
          <w:sz w:val="20"/>
          <w:szCs w:val="20"/>
        </w:rPr>
        <w:t>Ракетська О. О. Вплив яктону та мексикору на прооксидантно-антиоксидантний гомеостаз і протеїнсинтез у міокарді щурів в умовах доксорубіцинової кардіоміопатії / О. О. Ракетська, І. С. Чекман, Н. О. Горчакова // Запорожский медицинский журнал. – 2015. – № 2 (89). – С. 25</w:t>
      </w:r>
      <w:r w:rsidRPr="00FA11F9">
        <w:rPr>
          <w:bCs/>
          <w:sz w:val="20"/>
          <w:szCs w:val="20"/>
        </w:rPr>
        <w:t>–</w:t>
      </w:r>
      <w:r w:rsidRPr="00FA11F9">
        <w:rPr>
          <w:sz w:val="20"/>
          <w:szCs w:val="20"/>
        </w:rPr>
        <w:t xml:space="preserve">27. </w:t>
      </w:r>
      <w:r w:rsidRPr="00FA11F9">
        <w:rPr>
          <w:i/>
          <w:sz w:val="20"/>
          <w:szCs w:val="20"/>
        </w:rPr>
        <w:t>(Внесок дисертанта – аналіз літератури, проведення експериментів, участь у систематизації матеріалів).</w:t>
      </w:r>
    </w:p>
    <w:p w:rsidR="00CD54E9" w:rsidRPr="00FA11F9" w:rsidRDefault="00CD54E9" w:rsidP="008E2269">
      <w:pPr>
        <w:pStyle w:val="ListParagraph"/>
        <w:numPr>
          <w:ilvl w:val="0"/>
          <w:numId w:val="8"/>
        </w:numPr>
        <w:tabs>
          <w:tab w:val="left" w:pos="993"/>
        </w:tabs>
        <w:spacing w:line="228" w:lineRule="auto"/>
        <w:ind w:left="0" w:firstLine="567"/>
        <w:jc w:val="both"/>
        <w:rPr>
          <w:sz w:val="20"/>
          <w:szCs w:val="20"/>
        </w:rPr>
      </w:pPr>
      <w:r w:rsidRPr="00FA11F9">
        <w:rPr>
          <w:sz w:val="20"/>
          <w:szCs w:val="20"/>
        </w:rPr>
        <w:t>Ракетська О. О. Вплив яктону та мексикору на показники енергетичного обміну у міокарді щурів в умовах доксорубіцинової кардіоміопатії / О. О. Ракетська, І. С. Чекман, Н. О. Горчакова, І. Ф. Бєленічев // Вісник проблем біології та медицини. – 2015. – Т. 2, вип. 3. – С. 214</w:t>
      </w:r>
      <w:r w:rsidRPr="00FA11F9">
        <w:rPr>
          <w:bCs/>
          <w:sz w:val="20"/>
          <w:szCs w:val="20"/>
        </w:rPr>
        <w:t>–</w:t>
      </w:r>
      <w:r w:rsidRPr="00FA11F9">
        <w:rPr>
          <w:sz w:val="20"/>
          <w:szCs w:val="20"/>
        </w:rPr>
        <w:t xml:space="preserve">217. </w:t>
      </w:r>
      <w:r w:rsidRPr="00FA11F9">
        <w:rPr>
          <w:i/>
          <w:sz w:val="20"/>
          <w:szCs w:val="20"/>
        </w:rPr>
        <w:t>(Внесок дисертанта – аналітичний огляд літератури, проведення експериментів).</w:t>
      </w:r>
    </w:p>
    <w:p w:rsidR="00CD54E9" w:rsidRPr="00FA11F9" w:rsidRDefault="00CD54E9" w:rsidP="008E2269">
      <w:pPr>
        <w:pStyle w:val="ListParagraph"/>
        <w:numPr>
          <w:ilvl w:val="0"/>
          <w:numId w:val="8"/>
        </w:numPr>
        <w:tabs>
          <w:tab w:val="left" w:pos="993"/>
        </w:tabs>
        <w:spacing w:line="228" w:lineRule="auto"/>
        <w:ind w:left="0" w:firstLine="567"/>
        <w:jc w:val="both"/>
        <w:rPr>
          <w:sz w:val="20"/>
          <w:szCs w:val="20"/>
        </w:rPr>
      </w:pPr>
      <w:r w:rsidRPr="00FA11F9">
        <w:rPr>
          <w:sz w:val="20"/>
          <w:szCs w:val="20"/>
        </w:rPr>
        <w:t>Максимчук О. О. Вплив яктону на показники кардіо- та системної гемодинаміки у кролів при інтоксикації фторурацилом / О. О. Максимчук // Лікарська справа. – 2015. – № 3–4. – С. 150–153.</w:t>
      </w:r>
    </w:p>
    <w:p w:rsidR="00CD54E9" w:rsidRPr="00FA11F9" w:rsidRDefault="00CD54E9" w:rsidP="008E2269">
      <w:pPr>
        <w:pStyle w:val="ListParagraph"/>
        <w:numPr>
          <w:ilvl w:val="0"/>
          <w:numId w:val="8"/>
        </w:numPr>
        <w:tabs>
          <w:tab w:val="left" w:pos="993"/>
        </w:tabs>
        <w:spacing w:line="228" w:lineRule="auto"/>
        <w:ind w:left="0" w:firstLine="567"/>
        <w:jc w:val="both"/>
        <w:rPr>
          <w:sz w:val="20"/>
          <w:szCs w:val="20"/>
        </w:rPr>
      </w:pPr>
      <w:r w:rsidRPr="00FA11F9">
        <w:rPr>
          <w:sz w:val="20"/>
          <w:szCs w:val="20"/>
        </w:rPr>
        <w:t>Ракетська О. О. Вплив яктону та мексикору на показники гліколізу і глюконеогенезу та енергопродукуючої функції мітохондрій у міокарді щурів в умовах доксорубіцинової кардіоміопатії / О. О. Ракетська, І. С. Чекман, Н. О. Горчакова // Запорожский медицинский журнал. – 2015. – № 4 (91). – С. 25</w:t>
      </w:r>
      <w:r w:rsidRPr="00FA11F9">
        <w:rPr>
          <w:bCs/>
          <w:sz w:val="20"/>
          <w:szCs w:val="20"/>
        </w:rPr>
        <w:t>–</w:t>
      </w:r>
      <w:r w:rsidRPr="00FA11F9">
        <w:rPr>
          <w:sz w:val="20"/>
          <w:szCs w:val="20"/>
        </w:rPr>
        <w:t xml:space="preserve">27. </w:t>
      </w:r>
      <w:r w:rsidRPr="00FA11F9">
        <w:rPr>
          <w:i/>
          <w:sz w:val="20"/>
          <w:szCs w:val="20"/>
        </w:rPr>
        <w:t>(Внесок дисертанта – систематизація матеріалу, участь у статистичній обробці результатів).</w:t>
      </w:r>
    </w:p>
    <w:p w:rsidR="00CD54E9" w:rsidRPr="00FA11F9" w:rsidRDefault="00CD54E9" w:rsidP="008E2269">
      <w:pPr>
        <w:pStyle w:val="ListParagraph"/>
        <w:numPr>
          <w:ilvl w:val="0"/>
          <w:numId w:val="8"/>
        </w:numPr>
        <w:tabs>
          <w:tab w:val="left" w:pos="-5103"/>
          <w:tab w:val="left" w:pos="993"/>
        </w:tabs>
        <w:spacing w:line="228" w:lineRule="auto"/>
        <w:ind w:left="0" w:firstLine="567"/>
        <w:jc w:val="both"/>
        <w:rPr>
          <w:sz w:val="20"/>
          <w:szCs w:val="20"/>
        </w:rPr>
      </w:pPr>
      <w:r w:rsidRPr="00FA11F9">
        <w:rPr>
          <w:sz w:val="20"/>
          <w:szCs w:val="20"/>
        </w:rPr>
        <w:t>Пат. 25218 Україна. Спосіб лікування гострих інтоксикацій / Максимчук О.О., Чекман І.С., Горчакова Н.О., Савченко Н.В.; заявник та патентовласник Національний медичний університет імені О. О. Богомольця. – № u200704409, заявл. 20.04.07; опубл. 25.07.07, Бюл. № 11.</w:t>
      </w:r>
    </w:p>
    <w:p w:rsidR="00CD54E9" w:rsidRPr="00FA11F9" w:rsidRDefault="00CD54E9" w:rsidP="008E2269">
      <w:pPr>
        <w:pStyle w:val="ListParagraph"/>
        <w:numPr>
          <w:ilvl w:val="0"/>
          <w:numId w:val="8"/>
        </w:numPr>
        <w:tabs>
          <w:tab w:val="left" w:pos="-5103"/>
          <w:tab w:val="left" w:pos="993"/>
        </w:tabs>
        <w:spacing w:line="228" w:lineRule="auto"/>
        <w:ind w:left="0" w:firstLine="567"/>
        <w:jc w:val="both"/>
        <w:rPr>
          <w:sz w:val="20"/>
          <w:szCs w:val="20"/>
        </w:rPr>
      </w:pPr>
      <w:r w:rsidRPr="00FA11F9">
        <w:rPr>
          <w:sz w:val="20"/>
          <w:szCs w:val="20"/>
        </w:rPr>
        <w:t xml:space="preserve">Пат. 27272 Україна. Застосування яктону як кардіопротектора / Максимчук О.О., Чекман І.С.; заявник та патентовласник Національний медичний університет імені О. О. Богомольця. – № u2007706260, заявл. 06.06.07; опубл. 25.10.07, Бюл. № 10.. </w:t>
      </w:r>
    </w:p>
    <w:p w:rsidR="00CD54E9" w:rsidRPr="00FA11F9" w:rsidRDefault="00CD54E9" w:rsidP="008E2269">
      <w:pPr>
        <w:pStyle w:val="ListParagraph"/>
        <w:numPr>
          <w:ilvl w:val="0"/>
          <w:numId w:val="8"/>
        </w:numPr>
        <w:tabs>
          <w:tab w:val="left" w:pos="-5103"/>
          <w:tab w:val="left" w:pos="993"/>
        </w:tabs>
        <w:spacing w:line="228" w:lineRule="auto"/>
        <w:ind w:left="0" w:firstLine="567"/>
        <w:jc w:val="both"/>
        <w:rPr>
          <w:sz w:val="20"/>
          <w:szCs w:val="20"/>
        </w:rPr>
      </w:pPr>
      <w:r w:rsidRPr="00FA11F9">
        <w:rPr>
          <w:sz w:val="20"/>
          <w:szCs w:val="20"/>
        </w:rPr>
        <w:t xml:space="preserve">Пат. 32470 Україна. Застосування яктону як антиоксиданту / Максимчук О.О., Горчакова Н.О., Чекман І.С., Олійник С.А.; заявник та патентовласник Національний медичний університет імені О. О. Богомольця. – № u20082174, заявл. 20.02.08; опубл. 12.05.08, Бюл. № 9. </w:t>
      </w:r>
    </w:p>
    <w:p w:rsidR="00CD54E9" w:rsidRPr="00FA11F9" w:rsidRDefault="00CD54E9" w:rsidP="008E2269">
      <w:pPr>
        <w:pStyle w:val="ListParagraph"/>
        <w:numPr>
          <w:ilvl w:val="0"/>
          <w:numId w:val="8"/>
        </w:numPr>
        <w:tabs>
          <w:tab w:val="left" w:pos="-5245"/>
          <w:tab w:val="left" w:pos="993"/>
        </w:tabs>
        <w:spacing w:line="228" w:lineRule="auto"/>
        <w:ind w:left="0" w:firstLine="567"/>
        <w:jc w:val="both"/>
        <w:rPr>
          <w:sz w:val="20"/>
          <w:szCs w:val="20"/>
        </w:rPr>
      </w:pPr>
      <w:r w:rsidRPr="00FA11F9">
        <w:rPr>
          <w:sz w:val="20"/>
          <w:szCs w:val="20"/>
        </w:rPr>
        <w:t>Максимчук О. О. Бурштинова кислота та її похідні як лікарські засоби // Український науково-медичний молодіжний журнал – 2006. – Спецвипуск, присвячений 165-річчю Національного медичного університету імені О. О. Богомольця та 125-річчю студентського наукового товариства імені О. А. Киселя. – С. 45.</w:t>
      </w:r>
    </w:p>
    <w:p w:rsidR="00CD54E9" w:rsidRPr="00FA11F9" w:rsidRDefault="00CD54E9" w:rsidP="008E2269">
      <w:pPr>
        <w:pStyle w:val="ListParagraph"/>
        <w:numPr>
          <w:ilvl w:val="0"/>
          <w:numId w:val="8"/>
        </w:numPr>
        <w:tabs>
          <w:tab w:val="left" w:pos="993"/>
        </w:tabs>
        <w:spacing w:line="228" w:lineRule="auto"/>
        <w:ind w:left="0" w:firstLine="567"/>
        <w:jc w:val="both"/>
        <w:rPr>
          <w:sz w:val="20"/>
          <w:szCs w:val="20"/>
          <w:lang w:val="ru-RU"/>
        </w:rPr>
      </w:pPr>
      <w:r w:rsidRPr="00FA11F9">
        <w:rPr>
          <w:sz w:val="20"/>
          <w:szCs w:val="20"/>
          <w:lang w:val="ru-RU"/>
        </w:rPr>
        <w:t>Максимчук Е. А. Изучение квантово-фармакологических характеристик и органопротекторного влияния яктона, тиотриазолина, кверцетина, корветина в сочетании с химиотерапевтическими препаратами / И. С. Чекман, Н. А. Горчакова, С. Б. Французова, Е. А. Нагорная, Е. А. Максимчук, А. А. Резниченко, Н. П. Красильникова, Е. В. Шумейко, О. А. Выговская, Т. Ю. Небесная // ХІV Российский Национальный конгресс «Человек и лекарство» (Москва, 16-20 апреля 2007 г.). – М., 2007. – С. 460.</w:t>
      </w:r>
    </w:p>
    <w:p w:rsidR="00CD54E9" w:rsidRPr="00FA11F9" w:rsidRDefault="00CD54E9" w:rsidP="008E2269">
      <w:pPr>
        <w:pStyle w:val="ListParagraph"/>
        <w:numPr>
          <w:ilvl w:val="0"/>
          <w:numId w:val="8"/>
        </w:numPr>
        <w:tabs>
          <w:tab w:val="left" w:pos="993"/>
        </w:tabs>
        <w:spacing w:line="228" w:lineRule="auto"/>
        <w:ind w:left="0" w:firstLine="567"/>
        <w:jc w:val="both"/>
        <w:rPr>
          <w:sz w:val="20"/>
          <w:szCs w:val="20"/>
        </w:rPr>
      </w:pPr>
      <w:r w:rsidRPr="00FA11F9">
        <w:rPr>
          <w:sz w:val="20"/>
          <w:szCs w:val="20"/>
        </w:rPr>
        <w:t>Максимчук О. О. Медичне значення препаратів бурштинової кислоти / О. О. Максимчук // Міжнародна науково-практична конференція, присвячена 60-річчю ВООЗ та дню здоров’я (Харків 7-8 квітня 2008 р.): тези доповідей. – Харків: ВПП «Контраст», 2008. – С. 121–122.</w:t>
      </w:r>
    </w:p>
    <w:p w:rsidR="00CD54E9" w:rsidRPr="00FA11F9" w:rsidRDefault="00CD54E9" w:rsidP="008E2269">
      <w:pPr>
        <w:pStyle w:val="ListParagraph"/>
        <w:numPr>
          <w:ilvl w:val="0"/>
          <w:numId w:val="8"/>
        </w:numPr>
        <w:tabs>
          <w:tab w:val="left" w:pos="993"/>
        </w:tabs>
        <w:spacing w:line="228" w:lineRule="auto"/>
        <w:ind w:left="0" w:firstLine="567"/>
        <w:jc w:val="both"/>
        <w:rPr>
          <w:sz w:val="20"/>
          <w:szCs w:val="20"/>
          <w:lang w:val="ru-RU"/>
        </w:rPr>
      </w:pPr>
      <w:r w:rsidRPr="00FA11F9">
        <w:rPr>
          <w:sz w:val="20"/>
          <w:szCs w:val="20"/>
          <w:lang w:val="ru-RU"/>
        </w:rPr>
        <w:t>Максимчук О. О. Антитоксические свойства метаболитных препаратов и суспензии нанодисперсного кремнезема / И. С. Чекман, Н. А. Горчакова, Т. Ю. Небесная, А. А. Ризниченко, О. В. Ницак, Е. А. Максимчук // ХV Российский Национальный конгресс «Человек и лекарство» (Москва 14-18 апреля 2008 г.). – М., 2008. – С. 726–727.</w:t>
      </w:r>
    </w:p>
    <w:p w:rsidR="00CD54E9" w:rsidRPr="00FA11F9" w:rsidRDefault="00CD54E9" w:rsidP="008E2269">
      <w:pPr>
        <w:pStyle w:val="ListParagraph"/>
        <w:numPr>
          <w:ilvl w:val="0"/>
          <w:numId w:val="8"/>
        </w:numPr>
        <w:tabs>
          <w:tab w:val="left" w:pos="993"/>
        </w:tabs>
        <w:spacing w:line="228" w:lineRule="auto"/>
        <w:ind w:left="0" w:firstLine="567"/>
        <w:jc w:val="both"/>
        <w:rPr>
          <w:sz w:val="20"/>
          <w:szCs w:val="20"/>
        </w:rPr>
      </w:pPr>
      <w:r w:rsidRPr="00FA11F9">
        <w:rPr>
          <w:sz w:val="20"/>
          <w:szCs w:val="20"/>
        </w:rPr>
        <w:t>Максимчук О. О. Яктон – нова біологічно активна сполука з кардіотропною дією / М. О. Лозинський, І. С.Чекман, Н. О. Горчакова, О. О. Максимчук, А. Ю. Шермолович // Національна науково-технічна конференція з міжнародною участю «Актуальні проблеми синтезу і створення нових біологічно активних сполук та фармацевтичних препаратів: тези доповідей. – Львів, 15-18 жовтня 2008 р. – С. 201.</w:t>
      </w:r>
    </w:p>
    <w:p w:rsidR="00CD54E9" w:rsidRPr="00FA11F9" w:rsidRDefault="00CD54E9" w:rsidP="008E2269">
      <w:pPr>
        <w:pStyle w:val="ListParagraph"/>
        <w:numPr>
          <w:ilvl w:val="0"/>
          <w:numId w:val="8"/>
        </w:numPr>
        <w:tabs>
          <w:tab w:val="left" w:pos="-5245"/>
          <w:tab w:val="left" w:pos="993"/>
        </w:tabs>
        <w:spacing w:line="228" w:lineRule="auto"/>
        <w:ind w:left="0" w:firstLine="567"/>
        <w:jc w:val="both"/>
        <w:rPr>
          <w:sz w:val="20"/>
          <w:szCs w:val="20"/>
        </w:rPr>
      </w:pPr>
      <w:r w:rsidRPr="00FA11F9">
        <w:rPr>
          <w:sz w:val="20"/>
          <w:szCs w:val="20"/>
        </w:rPr>
        <w:t xml:space="preserve">Максимчук О. О. Дослідження протекторного впливу яктону на </w:t>
      </w:r>
      <w:r w:rsidRPr="00FA11F9">
        <w:rPr>
          <w:spacing w:val="-2"/>
          <w:sz w:val="20"/>
          <w:szCs w:val="20"/>
        </w:rPr>
        <w:t>показники кардіо- і системної гемодинаміки при інтоксикації фторурацилом:</w:t>
      </w:r>
      <w:r w:rsidRPr="00FA11F9">
        <w:rPr>
          <w:sz w:val="20"/>
          <w:szCs w:val="20"/>
        </w:rPr>
        <w:t xml:space="preserve"> </w:t>
      </w:r>
      <w:r w:rsidRPr="00FA11F9">
        <w:rPr>
          <w:spacing w:val="-2"/>
          <w:sz w:val="20"/>
          <w:szCs w:val="20"/>
        </w:rPr>
        <w:t xml:space="preserve">матеріали ІІ Міжнародного конгресу студентів і молодих вчених «Актуальні </w:t>
      </w:r>
      <w:r w:rsidRPr="00FA11F9">
        <w:rPr>
          <w:sz w:val="20"/>
          <w:szCs w:val="20"/>
        </w:rPr>
        <w:t>проблеми сучасної медицини» Київ, 4-6 листопада 2009 р. // Український науково-медичний молодіжний журнал. – 2009. – № 3. – С. 339.</w:t>
      </w:r>
    </w:p>
    <w:p w:rsidR="00CD54E9" w:rsidRPr="00FA11F9" w:rsidRDefault="00CD54E9" w:rsidP="008E2269">
      <w:pPr>
        <w:pStyle w:val="ListParagraph"/>
        <w:numPr>
          <w:ilvl w:val="0"/>
          <w:numId w:val="8"/>
        </w:numPr>
        <w:tabs>
          <w:tab w:val="left" w:pos="-5103"/>
          <w:tab w:val="left" w:pos="993"/>
        </w:tabs>
        <w:spacing w:line="228" w:lineRule="auto"/>
        <w:ind w:left="0" w:firstLine="567"/>
        <w:jc w:val="both"/>
        <w:rPr>
          <w:sz w:val="20"/>
          <w:szCs w:val="20"/>
          <w:lang w:val="ru-RU"/>
        </w:rPr>
      </w:pPr>
      <w:r w:rsidRPr="00FA11F9">
        <w:rPr>
          <w:sz w:val="20"/>
          <w:szCs w:val="20"/>
          <w:lang w:val="ru-RU"/>
        </w:rPr>
        <w:t>Максимчук О. О. Защитные свойства метаболитных препаратов и нанодисперсного кремнезема / И. С. Чекман, Н. А. Горчакова, И. А. Мазур, Т. Ю. Небесная, А. А. Ризниченко, О. В. Ницак, Е. А. Максимчук, Е. В. Клименко // ХVІ Российский Национальный конгресс «Человек и лекарство» (Москва, 6-10 апреля 2009 г.). – М., 2009. – С. 764.</w:t>
      </w:r>
    </w:p>
    <w:p w:rsidR="00CD54E9" w:rsidRPr="00FA11F9" w:rsidRDefault="00CD54E9" w:rsidP="008E2269">
      <w:pPr>
        <w:pStyle w:val="ListParagraph"/>
        <w:numPr>
          <w:ilvl w:val="0"/>
          <w:numId w:val="8"/>
        </w:numPr>
        <w:tabs>
          <w:tab w:val="left" w:pos="993"/>
        </w:tabs>
        <w:spacing w:line="228" w:lineRule="auto"/>
        <w:ind w:left="0" w:firstLine="567"/>
        <w:jc w:val="both"/>
        <w:rPr>
          <w:sz w:val="20"/>
          <w:szCs w:val="20"/>
        </w:rPr>
      </w:pPr>
      <w:r w:rsidRPr="00FA11F9">
        <w:rPr>
          <w:sz w:val="20"/>
          <w:szCs w:val="20"/>
        </w:rPr>
        <w:t>Максимчук О. О. Вплив яктону на показники кардіо- та системної гемодинаміки при застосуванні з протипухлинними засобами / Н. О. Горчакова, І. С. Чекман, О. О. Максимчук // Українські медичні вісті: Науково-практичний часопис Всеукраїнського Лікарського Товариства: Ювілейний Х з’їзд Всеукраїнського лікарського товариства, м. Київ (24-27 вересня 2009 р.). – К., 2009. – С. 288.</w:t>
      </w:r>
    </w:p>
    <w:p w:rsidR="00CD54E9" w:rsidRPr="00FA11F9" w:rsidRDefault="00CD54E9" w:rsidP="008E2269">
      <w:pPr>
        <w:pStyle w:val="ListParagraph"/>
        <w:numPr>
          <w:ilvl w:val="0"/>
          <w:numId w:val="8"/>
        </w:numPr>
        <w:tabs>
          <w:tab w:val="left" w:pos="-5103"/>
          <w:tab w:val="left" w:pos="993"/>
        </w:tabs>
        <w:spacing w:line="228" w:lineRule="auto"/>
        <w:ind w:left="0" w:firstLine="567"/>
        <w:jc w:val="both"/>
        <w:rPr>
          <w:sz w:val="20"/>
          <w:szCs w:val="20"/>
          <w:lang w:val="ru-RU"/>
        </w:rPr>
      </w:pPr>
      <w:r w:rsidRPr="00FA11F9">
        <w:rPr>
          <w:sz w:val="20"/>
          <w:szCs w:val="20"/>
          <w:lang w:val="ru-RU"/>
        </w:rPr>
        <w:t>Максимчук О. О. Органопротекторные свойства производных янтарной кислоты / Н. А. Горчакова, И. С. Чекман, И. Ю. Яковлева, Е. А. Максимчук, И. Ф. Беленичев, Т. Ю. Небесная, И. В. Ниженковская, С. А. Олейник // ХVІІ Российский Национальный конгресс «Человек и лекарство» (Москва, 12-16 апреля 2010 г.). – М., 2010. – С. 598–599.</w:t>
      </w:r>
    </w:p>
    <w:p w:rsidR="00CD54E9" w:rsidRPr="00FA11F9" w:rsidRDefault="00CD54E9" w:rsidP="008E2269">
      <w:pPr>
        <w:pStyle w:val="ListParagraph"/>
        <w:numPr>
          <w:ilvl w:val="0"/>
          <w:numId w:val="8"/>
        </w:numPr>
        <w:tabs>
          <w:tab w:val="left" w:pos="-5103"/>
          <w:tab w:val="left" w:pos="993"/>
        </w:tabs>
        <w:spacing w:line="228" w:lineRule="auto"/>
        <w:ind w:left="0" w:firstLine="567"/>
        <w:jc w:val="both"/>
        <w:rPr>
          <w:sz w:val="20"/>
          <w:szCs w:val="20"/>
        </w:rPr>
      </w:pPr>
      <w:r w:rsidRPr="00FA11F9">
        <w:rPr>
          <w:sz w:val="20"/>
          <w:szCs w:val="20"/>
        </w:rPr>
        <w:t>Максимчук О. О. Вплив яктону на показники енергетичного обміну та активність протеїнсинтезу у міокарді щурів при фторидній інтоксикації / О. О. Максимчук, І. С. Чекман // Науково-практична конференція «Актуальні питання безпечного застосування ліків» (Тернопіль, 17-18 жовтня 2013 р.). – Тернопіль: Укрмедкнига, 2013. – С. 43–44.</w:t>
      </w:r>
    </w:p>
    <w:p w:rsidR="00CD54E9" w:rsidRPr="00FA11F9" w:rsidRDefault="00CD54E9" w:rsidP="008E2269">
      <w:pPr>
        <w:pStyle w:val="ListParagraph"/>
        <w:numPr>
          <w:ilvl w:val="0"/>
          <w:numId w:val="8"/>
        </w:numPr>
        <w:tabs>
          <w:tab w:val="left" w:pos="993"/>
        </w:tabs>
        <w:spacing w:line="228" w:lineRule="auto"/>
        <w:ind w:left="0" w:firstLine="567"/>
        <w:jc w:val="both"/>
        <w:rPr>
          <w:sz w:val="20"/>
          <w:szCs w:val="20"/>
        </w:rPr>
      </w:pPr>
      <w:r w:rsidRPr="00FA11F9">
        <w:rPr>
          <w:sz w:val="20"/>
          <w:szCs w:val="20"/>
        </w:rPr>
        <w:t>Максимчук О. О. Антидотні властивості яктону при інтоксикації ксенобіотиками / О. О. Максимчук // Український медичні вісті: науково-практичний часопис Всеукраїнського Лікарського Товариства XV конгрес СФУЛТ (м. Чернівці, 16-18 жовтня 2014 р.). – Чернівці; Київ; Чикаго, 2014. – С. 363.</w:t>
      </w:r>
    </w:p>
    <w:p w:rsidR="00CD54E9" w:rsidRPr="00FA11F9" w:rsidRDefault="00CD54E9" w:rsidP="008E2269">
      <w:pPr>
        <w:pStyle w:val="ListParagraph"/>
        <w:numPr>
          <w:ilvl w:val="0"/>
          <w:numId w:val="8"/>
        </w:numPr>
        <w:tabs>
          <w:tab w:val="left" w:pos="-5103"/>
          <w:tab w:val="left" w:pos="993"/>
        </w:tabs>
        <w:spacing w:line="228" w:lineRule="auto"/>
        <w:ind w:left="0" w:firstLine="567"/>
        <w:jc w:val="both"/>
        <w:rPr>
          <w:sz w:val="20"/>
          <w:szCs w:val="20"/>
        </w:rPr>
      </w:pPr>
      <w:r w:rsidRPr="00FA11F9">
        <w:rPr>
          <w:sz w:val="20"/>
          <w:szCs w:val="20"/>
        </w:rPr>
        <w:t>Ракетська О. О. Мембранотропні та мітопротекторні властивості похідних бурштинової кислоти / Н. О. Горчакова, І. С. Чекман, І. Ф. Бєленічев, О. О. Ракетська, І. Ю. Яковлєва // Досягнення клінічної фармакології та фармакотерапії на шляхах доказової медицини: матеріали VIIІ Всеукраїнської науково-практичної конференції з міжнародною участю. – Вінниця, 9-10 листопада 2015. – С. 102–104.</w:t>
      </w:r>
    </w:p>
    <w:p w:rsidR="00CD54E9" w:rsidRPr="008E2269" w:rsidRDefault="00CD54E9" w:rsidP="008E2269">
      <w:pPr>
        <w:pStyle w:val="21"/>
        <w:spacing w:line="228" w:lineRule="auto"/>
        <w:jc w:val="center"/>
        <w:rPr>
          <w:rFonts w:ascii="Times New Roman" w:hAnsi="Times New Roman"/>
          <w:b/>
          <w:sz w:val="20"/>
          <w:szCs w:val="20"/>
          <w:lang w:val="ru-RU"/>
        </w:rPr>
      </w:pPr>
      <w:r w:rsidRPr="00FA11F9">
        <w:rPr>
          <w:rFonts w:ascii="Times New Roman" w:hAnsi="Times New Roman"/>
          <w:b/>
          <w:sz w:val="20"/>
          <w:szCs w:val="20"/>
        </w:rPr>
        <w:t>АНОТАЦІЯ</w:t>
      </w:r>
    </w:p>
    <w:p w:rsidR="00CD54E9" w:rsidRPr="008E2269" w:rsidRDefault="00CD54E9" w:rsidP="008E2269">
      <w:pPr>
        <w:pStyle w:val="21"/>
        <w:spacing w:line="228" w:lineRule="auto"/>
        <w:ind w:firstLine="567"/>
        <w:jc w:val="center"/>
        <w:rPr>
          <w:rFonts w:ascii="Times New Roman" w:hAnsi="Times New Roman"/>
          <w:b/>
          <w:sz w:val="20"/>
          <w:szCs w:val="20"/>
          <w:lang w:val="ru-RU"/>
        </w:rPr>
      </w:pPr>
    </w:p>
    <w:p w:rsidR="00CD54E9" w:rsidRPr="00FA11F9" w:rsidRDefault="00CD54E9" w:rsidP="008E2269">
      <w:pPr>
        <w:pStyle w:val="21"/>
        <w:spacing w:line="228" w:lineRule="auto"/>
        <w:ind w:firstLine="567"/>
        <w:jc w:val="both"/>
        <w:rPr>
          <w:rFonts w:ascii="Times New Roman" w:hAnsi="Times New Roman"/>
          <w:sz w:val="20"/>
          <w:szCs w:val="20"/>
        </w:rPr>
      </w:pPr>
      <w:r w:rsidRPr="00FA11F9">
        <w:rPr>
          <w:rFonts w:ascii="Times New Roman" w:hAnsi="Times New Roman"/>
          <w:b/>
          <w:sz w:val="20"/>
          <w:szCs w:val="20"/>
        </w:rPr>
        <w:t>Ракетська О.О. Експериментальні дослідження кардіо</w:t>
      </w:r>
      <w:r w:rsidRPr="00FA11F9">
        <w:rPr>
          <w:rFonts w:ascii="Times New Roman" w:hAnsi="Times New Roman"/>
          <w:b/>
          <w:sz w:val="20"/>
          <w:szCs w:val="20"/>
        </w:rPr>
        <w:softHyphen/>
        <w:t>протекторних властивостей похідних бурштинової кислоти. – Рукопис.</w:t>
      </w:r>
    </w:p>
    <w:p w:rsidR="00CD54E9" w:rsidRPr="00FA11F9" w:rsidRDefault="00CD54E9" w:rsidP="008E2269">
      <w:pPr>
        <w:pStyle w:val="21"/>
        <w:spacing w:line="228" w:lineRule="auto"/>
        <w:ind w:firstLine="567"/>
        <w:jc w:val="both"/>
        <w:rPr>
          <w:rFonts w:ascii="Times New Roman" w:hAnsi="Times New Roman"/>
          <w:sz w:val="20"/>
          <w:szCs w:val="20"/>
        </w:rPr>
      </w:pPr>
      <w:r w:rsidRPr="00FA11F9">
        <w:rPr>
          <w:rFonts w:ascii="Times New Roman" w:hAnsi="Times New Roman"/>
          <w:sz w:val="20"/>
          <w:szCs w:val="20"/>
        </w:rPr>
        <w:t>Дисертація на здобуття наукового ступеня кандидата медичних наук за спеціальністю 14.03.05. – фармакологія. – ДУ «Інститут фармакології та токсикології НАМН України». – Київ, 2016.</w:t>
      </w:r>
    </w:p>
    <w:p w:rsidR="00CD54E9" w:rsidRPr="00FA11F9" w:rsidRDefault="00CD54E9" w:rsidP="008E2269">
      <w:pPr>
        <w:tabs>
          <w:tab w:val="left" w:pos="851"/>
        </w:tabs>
        <w:spacing w:after="0" w:line="228" w:lineRule="auto"/>
        <w:ind w:firstLine="567"/>
        <w:jc w:val="both"/>
        <w:rPr>
          <w:sz w:val="20"/>
          <w:szCs w:val="20"/>
        </w:rPr>
      </w:pPr>
      <w:r w:rsidRPr="00FA11F9">
        <w:rPr>
          <w:sz w:val="20"/>
          <w:szCs w:val="20"/>
        </w:rPr>
        <w:t>У роботі встановлені механізми реалізації кардіопротекторного ефекту метаболітотропних засобів – похідних бурштинової кислоти (яктон, мексикор) на основі визначення їхньої антиоксидантної, ергогенної, мітопротекторної дії за доксорубіцинової кардіоміопатії та фторидних інтоксикацій фторурацилом і натрію фторидом. У випадку гострої інтоксикації доксорубіцином і натрію фторидом при експериментах на мишах яктон зменшує їхню токсичність, підвищуючи ДЛ</w:t>
      </w:r>
      <w:r w:rsidRPr="00FA11F9">
        <w:rPr>
          <w:sz w:val="20"/>
          <w:szCs w:val="20"/>
          <w:vertAlign w:val="subscript"/>
        </w:rPr>
        <w:t>50</w:t>
      </w:r>
      <w:r w:rsidRPr="00FA11F9">
        <w:rPr>
          <w:sz w:val="20"/>
          <w:szCs w:val="20"/>
        </w:rPr>
        <w:t>, що є дозозалежною. Яктон скорочує тіопенталовий сон у щурів на фоні доксорубіцину, натрію фториду та фторурацилу завдяки дезінтоксикаційній дії. В умовах доксорубіцинової кардіоміопатії у кролів яктон нормалізує показники кардіо- та системної гемодинаміки, що характеризують його скоротливу активність. За фторидних інтоксикацій яктон нормалізує всі порушені показники кардіо- і системної гемодинаміки. В умовах доксорубіцинової кардіоміопатії і фторидних інтоксикацій (натрію фторидом, фторурацилом) у щурів яктон і мексикор нормалізують показники прооксидантно-антиоксидантного гомеостазу (СОД, ГПР, ГР, АФГ, КФГ), протеїнсинтезу (вміст мітохондріального білка), енергоутворення (вміст аденілових нуклеотидів, показників гліколізу, глюконеогенезу, глікогенолізу, активність цитохром-С-оксидази, малатдегідрогенази, креатинфосфокінази), показників синтезу, транспорту і метаболізму оксиду азоту і тіол-дисульфідної системи, а також проявляють мітопротекторну дію. На підставі проведених квантово-хімічних розрахунків молекули яктону встановлено, що похідні бурштинової кислоти мають широкий спектр фармакологічної дії, а аналіз розташування молекулярних орбіталей у молекулі яктону та його протонованої форми виявив можливість реалізації електронодонорних та електроноакцепторних центрів, які впливають на характер взаємодії з біолігандами.</w:t>
      </w:r>
    </w:p>
    <w:p w:rsidR="00CD54E9" w:rsidRPr="00FA11F9" w:rsidRDefault="00CD54E9" w:rsidP="008E2269">
      <w:pPr>
        <w:tabs>
          <w:tab w:val="left" w:pos="851"/>
        </w:tabs>
        <w:spacing w:after="0" w:line="228" w:lineRule="auto"/>
        <w:ind w:firstLine="567"/>
        <w:jc w:val="both"/>
        <w:rPr>
          <w:sz w:val="20"/>
          <w:szCs w:val="20"/>
        </w:rPr>
      </w:pPr>
      <w:r w:rsidRPr="00FA11F9">
        <w:rPr>
          <w:b/>
          <w:sz w:val="20"/>
          <w:szCs w:val="20"/>
        </w:rPr>
        <w:t>Ключові слова</w:t>
      </w:r>
      <w:r w:rsidRPr="00FA11F9">
        <w:rPr>
          <w:sz w:val="20"/>
          <w:szCs w:val="20"/>
        </w:rPr>
        <w:t>: кардіопротекторна дія, яктон, мексикор, антиоксидантний, енерготропний мітопротективний вплив.</w:t>
      </w:r>
    </w:p>
    <w:p w:rsidR="00CD54E9" w:rsidRPr="00FA11F9" w:rsidRDefault="00CD54E9" w:rsidP="008E2269">
      <w:pPr>
        <w:tabs>
          <w:tab w:val="left" w:pos="851"/>
        </w:tabs>
        <w:spacing w:after="0" w:line="228" w:lineRule="auto"/>
        <w:ind w:firstLine="567"/>
        <w:jc w:val="both"/>
        <w:rPr>
          <w:sz w:val="20"/>
          <w:szCs w:val="20"/>
        </w:rPr>
      </w:pPr>
    </w:p>
    <w:p w:rsidR="00CD54E9" w:rsidRPr="00FA11F9" w:rsidRDefault="00CD54E9" w:rsidP="008E2269">
      <w:pPr>
        <w:pStyle w:val="21"/>
        <w:spacing w:line="228" w:lineRule="auto"/>
        <w:jc w:val="center"/>
        <w:rPr>
          <w:rFonts w:ascii="Times New Roman" w:hAnsi="Times New Roman"/>
          <w:b/>
          <w:sz w:val="20"/>
          <w:szCs w:val="20"/>
          <w:lang w:val="ru-RU"/>
        </w:rPr>
      </w:pPr>
      <w:r w:rsidRPr="00FA11F9">
        <w:rPr>
          <w:rFonts w:ascii="Times New Roman" w:hAnsi="Times New Roman"/>
          <w:b/>
          <w:sz w:val="20"/>
          <w:szCs w:val="20"/>
          <w:lang w:val="ru-RU"/>
        </w:rPr>
        <w:t>АННОТАЦИЯ</w:t>
      </w:r>
    </w:p>
    <w:p w:rsidR="00CD54E9" w:rsidRPr="00FA11F9" w:rsidRDefault="00CD54E9" w:rsidP="008E2269">
      <w:pPr>
        <w:pStyle w:val="21"/>
        <w:spacing w:line="228" w:lineRule="auto"/>
        <w:ind w:firstLine="567"/>
        <w:jc w:val="center"/>
        <w:rPr>
          <w:rFonts w:ascii="Times New Roman" w:hAnsi="Times New Roman"/>
          <w:b/>
          <w:sz w:val="20"/>
          <w:szCs w:val="20"/>
          <w:lang w:val="ru-RU"/>
        </w:rPr>
      </w:pPr>
    </w:p>
    <w:p w:rsidR="00CD54E9" w:rsidRPr="00FA11F9" w:rsidRDefault="00CD54E9" w:rsidP="008E2269">
      <w:pPr>
        <w:pStyle w:val="21"/>
        <w:spacing w:line="228" w:lineRule="auto"/>
        <w:ind w:firstLine="567"/>
        <w:jc w:val="both"/>
        <w:rPr>
          <w:rFonts w:ascii="Times New Roman" w:hAnsi="Times New Roman"/>
          <w:b/>
          <w:sz w:val="20"/>
          <w:szCs w:val="20"/>
          <w:lang w:val="ru-RU"/>
        </w:rPr>
      </w:pPr>
      <w:r w:rsidRPr="00FA11F9">
        <w:rPr>
          <w:rFonts w:ascii="Times New Roman" w:hAnsi="Times New Roman"/>
          <w:b/>
          <w:sz w:val="20"/>
          <w:szCs w:val="20"/>
          <w:lang w:val="ru-RU"/>
        </w:rPr>
        <w:t>Ракетская Е.А. Экспериментальные исследования кардио</w:t>
      </w:r>
      <w:r w:rsidRPr="00FA11F9">
        <w:rPr>
          <w:rFonts w:ascii="Times New Roman" w:hAnsi="Times New Roman"/>
          <w:b/>
          <w:sz w:val="20"/>
          <w:szCs w:val="20"/>
          <w:lang w:val="ru-RU"/>
        </w:rPr>
        <w:softHyphen/>
        <w:t>протекторных свойств производных янтарной кислоты. – Рукопись.</w:t>
      </w:r>
    </w:p>
    <w:p w:rsidR="00CD54E9" w:rsidRPr="00FA11F9" w:rsidRDefault="00CD54E9" w:rsidP="008E2269">
      <w:pPr>
        <w:pStyle w:val="21"/>
        <w:spacing w:line="228" w:lineRule="auto"/>
        <w:ind w:firstLine="567"/>
        <w:jc w:val="both"/>
        <w:rPr>
          <w:rFonts w:ascii="Times New Roman" w:hAnsi="Times New Roman"/>
          <w:sz w:val="20"/>
          <w:szCs w:val="20"/>
          <w:lang w:val="ru-RU"/>
        </w:rPr>
      </w:pPr>
      <w:r w:rsidRPr="00FA11F9">
        <w:rPr>
          <w:rFonts w:ascii="Times New Roman" w:hAnsi="Times New Roman"/>
          <w:sz w:val="20"/>
          <w:szCs w:val="20"/>
          <w:lang w:val="ru-RU"/>
        </w:rPr>
        <w:t>Диссертация на соискание ученой степени кандидата медицинских наук по специальности 14.03.05 – фармакология. – ГУ «Институт фармакологии и токсикологии НАМН Украины». – Киев, 2016.</w:t>
      </w:r>
    </w:p>
    <w:p w:rsidR="00CD54E9" w:rsidRPr="00FA11F9" w:rsidRDefault="00CD54E9" w:rsidP="008E2269">
      <w:pPr>
        <w:spacing w:after="0" w:line="228" w:lineRule="auto"/>
        <w:ind w:firstLine="567"/>
        <w:jc w:val="both"/>
        <w:rPr>
          <w:sz w:val="20"/>
          <w:szCs w:val="20"/>
          <w:lang w:val="ru-RU"/>
        </w:rPr>
      </w:pPr>
      <w:r w:rsidRPr="00FA11F9">
        <w:rPr>
          <w:sz w:val="20"/>
          <w:szCs w:val="20"/>
          <w:lang w:val="ru-RU"/>
        </w:rPr>
        <w:t>В диссертационной работе установлены механизмы реализации кардиопротекторного действия метаболитотропных средств – производных янтарной кислоты (яктон, мексикор) на основе определения их антиоксидантного, эргогенного, митопротекторного действия при доксорубициновой кардиомиопатии и фторидных интоксикациях фторурацилом и натрия фторидом. При острой интоксикации доксорубицином и натрия фторидом, которые вызывают гистотоксическую гипоксию в экспериментах на мышах яктон уменьшает их токсичность, повышая дозозависимо ДЛ</w:t>
      </w:r>
      <w:r w:rsidRPr="00FA11F9">
        <w:rPr>
          <w:sz w:val="20"/>
          <w:szCs w:val="20"/>
          <w:vertAlign w:val="subscript"/>
          <w:lang w:val="ru-RU"/>
        </w:rPr>
        <w:t>50</w:t>
      </w:r>
      <w:r w:rsidRPr="00FA11F9">
        <w:rPr>
          <w:sz w:val="20"/>
          <w:szCs w:val="20"/>
          <w:lang w:val="ru-RU"/>
        </w:rPr>
        <w:t>, оказывая протекторное действие. Яктон сокращает тиопенталовый сон у крыс на фоне доксорубицина, натрия фторида и фторурацила благодаря дезинтоксикационному, гепатопротекторному действию. При доксорубициновой кардиомиопатии у кролей изменяются показатели кардио- и системной гемодинамики, которые характеризуют сократительную способность миокарда. При этом понижается максимальное давление левого желудочка на 19,9%, системное артериальное давление – на 17,5%, рабочий индекс левого желудочка – на 28,8%, рабочий ударный индекс левого желудочка – на 20,2%. В условиях доксорубициновой кардиомиопатии у кроликов яктон нормализует показатели кардио- и системной гемодинамики, которые отображают его сократительную активность, а именно максимальное давление в левом желудочке, системное артериальное давление, рабочий индекс левого желудочка, рабочий ударный индекс левого желудочка. При фторидных интоксикациях (фторурацилом и натрия фторидом), когда нарушены все показатели кардио- и системной гемодинамики, яктон нормализует все нарушенные показатели кардио- и системной гемодинамики: максимальное давление в левом желудочке, системное артериальное давление, сердечный индекс, систолический индекс, минутный объём крови, ударный объём крови, рабочий индекс левого желудочка, рабочий ударный индекс левого желудочка. В условиях доксорубициновой кардиомиопатии и фторидных интоксикациях (натрия фторидом, фторурацилом) яктон и мексикор нормализуют показатели прооксидантно-антиоксидантного гомеостаза (СОД, ГПР, ГР, АФГ, КФГ), протеинсинтеза (содержание митохондриального и цитоплазматического белка, коэффициент белок/мочевина, что связано с репаративными свойствами сукцинсодержащих препаратов). Яктон и мексикор интенсифицируют при моделировании патологических состояний показатели, которые характеризуют процессы энергосинтеза, переноса энергии (компоненты адениловой системы и активность креатинфосфокиназы), а также компонентов дыхательной цепи (активность цитохром-С-оксидазы). Развитие доксорубициновой кардиомиопатии и фторидных интоксикаций сопровождается нарушением показателей системы гликолиза (уменьшается содержание пирувата, изоцитрата, малата), что также характеризует уменьшение продукции энергии альтернативными путями. Падение уровня малата свидетельствует о нарушении процессов окисления на дикарбоновом участке цикла Кребса, а уровня изоцитрата – на трикарбоновом участке цикла Кребса. Понижение активности малатдегидрогеназы параллельно с уменьшением уровня глутамата и аспартата объясняет угнетение активности малат-аспартатного шунта. Рост содержания лактата связан с возникновением ацидоза. При доксорубициновой кардиомиопатии и фторидных интоксикациях нарушаются также процессы глюконеогенеза и гликогенолиза, о чём свидетельствует уменьшение содержания гликогена и глюкозо-6-фосфата. Таким образом, яктон и мексикор оказывают нормализующее влияние на альтернативные пути синтеза энергии. При доксорубициновой кардиомиопатии в большей степени, чем при интоксикации фторурацилом и натрия фторидом, понижается активность фермента NO-синтазы, продукция стабильных метаболитов оксида азота (нитратов) на фоне выраженного дефицита уровня аргинина. При доксорубициновой кардиомиопатии отмечено большее падение уровня аргинина, чем при интоксикации фторурацилом и натрия фторидом. Параллельно отмечено нарушение транспорта оксида азота, о чем свидетельствует снижение уровня тиолсодержащих аминокислот и суммарного уровня восстановленных тиолов белковых молекул. При доксорубициновой кардиомиопатии более выражено, чем при интоксикации фторурацилом и натрия фторидом, понижение уровня цистеина. Яктон при доксорубициновой кардиомиопатии и фторидных интоксикациях нормализует показатели синтеза, транспорта и метаболизма оксида азота и тиол-дисульфидной системы, проявляя митопротективное действие. На основании проведённых квантово-химических расчётов молекулы яктона установлено, что производные янтарной кислоты имеют широкий спектр фармакологического действия, а анализ расположения молекулярных орбиталей в молекуле яктона и его протонированной формы выявил возможность реализации электронодонорных и электроноакцепторных центров, которые влияют на характер взаимодействия с биолигандами, в том числе с ферментами.</w:t>
      </w:r>
    </w:p>
    <w:p w:rsidR="00CD54E9" w:rsidRPr="00FA11F9" w:rsidRDefault="00CD54E9" w:rsidP="008E2269">
      <w:pPr>
        <w:pStyle w:val="21"/>
        <w:spacing w:line="228" w:lineRule="auto"/>
        <w:ind w:firstLine="567"/>
        <w:jc w:val="both"/>
        <w:rPr>
          <w:rFonts w:ascii="Times New Roman" w:hAnsi="Times New Roman"/>
          <w:b/>
          <w:sz w:val="20"/>
          <w:szCs w:val="20"/>
          <w:lang w:val="ru-RU"/>
        </w:rPr>
      </w:pPr>
      <w:r w:rsidRPr="00FA11F9">
        <w:rPr>
          <w:rFonts w:ascii="Times New Roman" w:hAnsi="Times New Roman"/>
          <w:b/>
          <w:sz w:val="20"/>
          <w:szCs w:val="20"/>
          <w:lang w:val="ru-RU"/>
        </w:rPr>
        <w:t>Ключевые слова</w:t>
      </w:r>
      <w:r w:rsidRPr="00FA11F9">
        <w:rPr>
          <w:rFonts w:ascii="Times New Roman" w:hAnsi="Times New Roman"/>
          <w:sz w:val="20"/>
          <w:szCs w:val="20"/>
          <w:lang w:val="ru-RU"/>
        </w:rPr>
        <w:t>: кардиопротекторное действие, яктон, мексикор, антиоксидантное, энерготропное, митопротекторное действие.</w:t>
      </w:r>
    </w:p>
    <w:p w:rsidR="00CD54E9" w:rsidRPr="00FA11F9" w:rsidRDefault="00CD54E9" w:rsidP="008E2269">
      <w:pPr>
        <w:pStyle w:val="21"/>
        <w:spacing w:line="228" w:lineRule="auto"/>
        <w:ind w:firstLine="567"/>
        <w:rPr>
          <w:rFonts w:ascii="Times New Roman" w:hAnsi="Times New Roman"/>
          <w:b/>
          <w:sz w:val="20"/>
          <w:szCs w:val="20"/>
        </w:rPr>
      </w:pPr>
    </w:p>
    <w:p w:rsidR="00CD54E9" w:rsidRPr="00FA11F9" w:rsidRDefault="00CD54E9" w:rsidP="008E2269">
      <w:pPr>
        <w:pStyle w:val="21"/>
        <w:spacing w:line="228" w:lineRule="auto"/>
        <w:jc w:val="center"/>
        <w:rPr>
          <w:rFonts w:ascii="Times New Roman" w:hAnsi="Times New Roman"/>
          <w:b/>
          <w:sz w:val="20"/>
          <w:szCs w:val="20"/>
          <w:lang w:val="en-US"/>
        </w:rPr>
      </w:pPr>
      <w:r w:rsidRPr="00FA11F9">
        <w:rPr>
          <w:rFonts w:ascii="Times New Roman" w:hAnsi="Times New Roman"/>
          <w:b/>
          <w:sz w:val="20"/>
          <w:szCs w:val="20"/>
          <w:lang w:val="en-US"/>
        </w:rPr>
        <w:t>SUMMARY</w:t>
      </w:r>
    </w:p>
    <w:p w:rsidR="00CD54E9" w:rsidRPr="00FA11F9" w:rsidRDefault="00CD54E9" w:rsidP="008E2269">
      <w:pPr>
        <w:pStyle w:val="21"/>
        <w:spacing w:line="228" w:lineRule="auto"/>
        <w:ind w:firstLine="567"/>
        <w:rPr>
          <w:rFonts w:ascii="Times New Roman" w:hAnsi="Times New Roman"/>
          <w:b/>
          <w:sz w:val="20"/>
          <w:szCs w:val="20"/>
          <w:lang w:val="en-US"/>
        </w:rPr>
      </w:pPr>
    </w:p>
    <w:p w:rsidR="00CD54E9" w:rsidRPr="00FA11F9" w:rsidRDefault="00CD54E9" w:rsidP="008E2269">
      <w:pPr>
        <w:pStyle w:val="21"/>
        <w:spacing w:line="228" w:lineRule="auto"/>
        <w:ind w:firstLine="567"/>
        <w:jc w:val="both"/>
        <w:rPr>
          <w:rFonts w:ascii="Times New Roman" w:hAnsi="Times New Roman"/>
          <w:sz w:val="20"/>
          <w:szCs w:val="20"/>
          <w:lang w:val="en-US"/>
        </w:rPr>
      </w:pPr>
      <w:r w:rsidRPr="00FA11F9">
        <w:rPr>
          <w:rFonts w:ascii="Times New Roman" w:hAnsi="Times New Roman"/>
          <w:b/>
          <w:sz w:val="20"/>
          <w:szCs w:val="20"/>
          <w:lang w:val="en-US"/>
        </w:rPr>
        <w:t>Raketskaya E.A. Experimental study of cardioprotective properties derivatives of succinic acid</w:t>
      </w:r>
      <w:r w:rsidRPr="00FA11F9">
        <w:rPr>
          <w:rFonts w:ascii="Times New Roman" w:hAnsi="Times New Roman"/>
          <w:sz w:val="20"/>
          <w:szCs w:val="20"/>
          <w:lang w:val="en-US"/>
        </w:rPr>
        <w:t>.</w:t>
      </w:r>
      <w:r w:rsidRPr="00FA11F9">
        <w:rPr>
          <w:rFonts w:ascii="Times New Roman" w:hAnsi="Times New Roman"/>
          <w:sz w:val="20"/>
          <w:szCs w:val="20"/>
        </w:rPr>
        <w:t xml:space="preserve"> </w:t>
      </w:r>
      <w:r w:rsidRPr="00FA11F9">
        <w:rPr>
          <w:rFonts w:ascii="Times New Roman" w:hAnsi="Times New Roman"/>
          <w:b/>
          <w:sz w:val="20"/>
          <w:szCs w:val="20"/>
          <w:lang w:val="en-US"/>
        </w:rPr>
        <w:t>–</w:t>
      </w:r>
      <w:r w:rsidRPr="00FA11F9">
        <w:rPr>
          <w:rFonts w:ascii="Times New Roman" w:hAnsi="Times New Roman"/>
          <w:sz w:val="20"/>
          <w:szCs w:val="20"/>
        </w:rPr>
        <w:t xml:space="preserve"> </w:t>
      </w:r>
      <w:r w:rsidRPr="00FA11F9">
        <w:rPr>
          <w:rFonts w:ascii="Times New Roman" w:hAnsi="Times New Roman"/>
          <w:b/>
          <w:sz w:val="20"/>
          <w:szCs w:val="20"/>
          <w:lang w:val="en-US"/>
        </w:rPr>
        <w:t>Manuscript.</w:t>
      </w:r>
    </w:p>
    <w:p w:rsidR="00CD54E9" w:rsidRPr="00FA11F9" w:rsidRDefault="00CD54E9" w:rsidP="008E2269">
      <w:pPr>
        <w:pStyle w:val="21"/>
        <w:spacing w:line="228" w:lineRule="auto"/>
        <w:ind w:firstLine="567"/>
        <w:jc w:val="both"/>
        <w:rPr>
          <w:rFonts w:ascii="Times New Roman" w:hAnsi="Times New Roman"/>
          <w:sz w:val="20"/>
          <w:szCs w:val="20"/>
          <w:lang w:val="en-US"/>
        </w:rPr>
      </w:pPr>
      <w:r w:rsidRPr="00FA11F9">
        <w:rPr>
          <w:rFonts w:ascii="Times New Roman" w:hAnsi="Times New Roman"/>
          <w:sz w:val="20"/>
          <w:szCs w:val="20"/>
          <w:lang w:val="en-US"/>
        </w:rPr>
        <w:t>Dissertation for candidate scientific degree of biological sciences in speciality 14.03.05 – pharmacology</w:t>
      </w:r>
      <w:r w:rsidRPr="00FA11F9">
        <w:rPr>
          <w:rFonts w:ascii="Times New Roman" w:hAnsi="Times New Roman"/>
          <w:sz w:val="20"/>
          <w:szCs w:val="20"/>
        </w:rPr>
        <w:t>.</w:t>
      </w:r>
      <w:r w:rsidRPr="00FA11F9">
        <w:rPr>
          <w:rFonts w:ascii="Times New Roman" w:hAnsi="Times New Roman"/>
          <w:sz w:val="20"/>
          <w:szCs w:val="20"/>
          <w:lang w:val="en-US"/>
        </w:rPr>
        <w:t xml:space="preserve"> – State Institution «Institute of Pharmacology and Toxicology, National Academy of Medical Sciences of Ukraine»</w:t>
      </w:r>
      <w:r w:rsidRPr="00FA11F9">
        <w:rPr>
          <w:rFonts w:ascii="Times New Roman" w:hAnsi="Times New Roman"/>
          <w:sz w:val="20"/>
          <w:szCs w:val="20"/>
        </w:rPr>
        <w:t>. –</w:t>
      </w:r>
      <w:r w:rsidRPr="00FA11F9">
        <w:rPr>
          <w:rFonts w:ascii="Times New Roman" w:hAnsi="Times New Roman"/>
          <w:sz w:val="20"/>
          <w:szCs w:val="20"/>
          <w:lang w:val="en-US"/>
        </w:rPr>
        <w:t xml:space="preserve"> Kyiv</w:t>
      </w:r>
      <w:r w:rsidRPr="00FA11F9">
        <w:rPr>
          <w:rFonts w:ascii="Times New Roman" w:hAnsi="Times New Roman"/>
          <w:sz w:val="20"/>
          <w:szCs w:val="20"/>
        </w:rPr>
        <w:t>,</w:t>
      </w:r>
      <w:r w:rsidRPr="00FA11F9">
        <w:rPr>
          <w:rFonts w:ascii="Times New Roman" w:hAnsi="Times New Roman"/>
          <w:sz w:val="20"/>
          <w:szCs w:val="20"/>
          <w:lang w:val="en-US"/>
        </w:rPr>
        <w:t xml:space="preserve"> 2016.</w:t>
      </w:r>
    </w:p>
    <w:p w:rsidR="00CD54E9" w:rsidRPr="00FA11F9" w:rsidRDefault="00CD54E9" w:rsidP="008E2269">
      <w:pPr>
        <w:pStyle w:val="21"/>
        <w:spacing w:line="228" w:lineRule="auto"/>
        <w:ind w:firstLine="567"/>
        <w:jc w:val="both"/>
        <w:rPr>
          <w:rFonts w:ascii="Times New Roman" w:hAnsi="Times New Roman"/>
          <w:sz w:val="20"/>
          <w:szCs w:val="20"/>
          <w:lang w:val="en-US"/>
        </w:rPr>
      </w:pPr>
      <w:r w:rsidRPr="00FA11F9">
        <w:rPr>
          <w:rFonts w:ascii="Times New Roman" w:hAnsi="Times New Roman"/>
          <w:sz w:val="20"/>
          <w:szCs w:val="20"/>
          <w:lang w:val="en-US"/>
        </w:rPr>
        <w:t>In the thesis it is stated the mechanisms of metabolitotropic compounds derivatives of succinic acid (yakton, mexicor) in cardioprotective action realisation based on the definion of their antioxidant, ergogenic, mitoprotective action in doxorubicine cardiomyopathy and fluorite intoxication by phthoruracylum and natriifluoras. In acute intoxication by doxorubicinum and natriifluoras in experiments on the mices yakton decrease its toxicity, increases DL</w:t>
      </w:r>
      <w:r w:rsidRPr="00FA11F9">
        <w:rPr>
          <w:rFonts w:ascii="Times New Roman" w:hAnsi="Times New Roman"/>
          <w:sz w:val="20"/>
          <w:szCs w:val="20"/>
          <w:vertAlign w:val="subscript"/>
          <w:lang w:val="en-US"/>
        </w:rPr>
        <w:t>50</w:t>
      </w:r>
      <w:r w:rsidRPr="00FA11F9">
        <w:rPr>
          <w:rFonts w:ascii="Times New Roman" w:hAnsi="Times New Roman"/>
          <w:sz w:val="20"/>
          <w:szCs w:val="20"/>
          <w:lang w:val="en-US"/>
        </w:rPr>
        <w:t xml:space="preserve"> depending from dose. In the thiopentalum sleeping yakton injected before doxorubicinum, phthoruracylum, natriifluoras shorten its duration of sleeping thanks to the desintoxication action, hepatoprotective action. In the condition of doxorubicine cardiomyopathy in the rabbits yakton normalizes the markers of cardio- and systemic hemodynamics connected with contractile myocardial activity. In the fluoride intoxication yakton normalize all data of cardio- and systemic hemodynamics. In doxorubicine rats’ cardiomyopathy yakton and mexicor normalize the data of prooxidant-antioxidant homeostasis (SOD, GPR, GR, APhG, KPhG), proteinsyntesis (content of mitochondrial and cytoplasmic protein), energosynthesis (adenyl nuckeotides, the markers of glycolysis, gluconeogenesis, glycogenolysis, activity of cithochrome-C-oxidase, malatdehydrogenase, kreatinphosphokinase), data of synthesis, transport and metabolism of nitrogenium oxide and thiol-disulfide system and have mitoprotective action. On the basis of quantovo-chemical calculatium of yakton molecule it has been stated that succinic acid derivatives have the wide specter of pharmacologic action and analysis of molecular orbitals situation of yakton and its proton form have detected the possibility of electrodonor and electroacceptor</w:t>
      </w:r>
      <w:r w:rsidRPr="00FA11F9">
        <w:rPr>
          <w:rFonts w:ascii="Times New Roman" w:hAnsi="Times New Roman"/>
          <w:sz w:val="20"/>
          <w:szCs w:val="20"/>
        </w:rPr>
        <w:t xml:space="preserve"> </w:t>
      </w:r>
      <w:r w:rsidRPr="00FA11F9">
        <w:rPr>
          <w:rFonts w:ascii="Times New Roman" w:hAnsi="Times New Roman"/>
          <w:sz w:val="20"/>
          <w:szCs w:val="20"/>
          <w:lang w:val="en-US"/>
        </w:rPr>
        <w:t>centres that influence on the character of interaction with bioligands.</w:t>
      </w:r>
    </w:p>
    <w:p w:rsidR="00CD54E9" w:rsidRPr="00FA11F9" w:rsidRDefault="00CD54E9" w:rsidP="008E2269">
      <w:pPr>
        <w:spacing w:after="0" w:line="228" w:lineRule="auto"/>
        <w:ind w:firstLine="567"/>
        <w:jc w:val="both"/>
        <w:rPr>
          <w:sz w:val="20"/>
          <w:szCs w:val="20"/>
          <w:lang w:val="en-US"/>
        </w:rPr>
      </w:pPr>
      <w:r w:rsidRPr="00FA11F9">
        <w:rPr>
          <w:b/>
          <w:sz w:val="20"/>
          <w:szCs w:val="20"/>
          <w:lang w:val="en-US"/>
        </w:rPr>
        <w:t xml:space="preserve">Key words: </w:t>
      </w:r>
      <w:r w:rsidRPr="00FA11F9">
        <w:rPr>
          <w:sz w:val="20"/>
          <w:szCs w:val="20"/>
          <w:lang w:val="en-US"/>
        </w:rPr>
        <w:t xml:space="preserve">cardioprotectiveaction, yakton, mexicor, antioxidant, ergotropic, mitoprotective action. </w:t>
      </w:r>
    </w:p>
    <w:p w:rsidR="00CD54E9" w:rsidRPr="00FA11F9" w:rsidRDefault="00CD54E9" w:rsidP="008E2269">
      <w:pPr>
        <w:spacing w:after="0" w:line="228" w:lineRule="auto"/>
        <w:ind w:firstLine="567"/>
        <w:rPr>
          <w:sz w:val="20"/>
          <w:szCs w:val="20"/>
        </w:rPr>
      </w:pPr>
      <w:r w:rsidRPr="00FA11F9">
        <w:rPr>
          <w:sz w:val="20"/>
          <w:szCs w:val="20"/>
        </w:rPr>
        <w:br w:type="page"/>
      </w:r>
    </w:p>
    <w:p w:rsidR="00CD54E9" w:rsidRPr="00FA11F9" w:rsidRDefault="00CD54E9" w:rsidP="008E2269">
      <w:pPr>
        <w:pStyle w:val="NoSpacing"/>
        <w:spacing w:line="228" w:lineRule="auto"/>
        <w:ind w:left="142"/>
        <w:jc w:val="center"/>
        <w:rPr>
          <w:rFonts w:ascii="Times New Roman" w:hAnsi="Times New Roman"/>
          <w:b/>
          <w:caps/>
          <w:sz w:val="20"/>
          <w:szCs w:val="20"/>
        </w:rPr>
      </w:pPr>
      <w:r w:rsidRPr="00FA11F9">
        <w:rPr>
          <w:rFonts w:ascii="Times New Roman" w:hAnsi="Times New Roman"/>
          <w:b/>
          <w:caps/>
          <w:sz w:val="20"/>
          <w:szCs w:val="20"/>
        </w:rPr>
        <w:t xml:space="preserve">Перелік умовних скорочень </w:t>
      </w:r>
    </w:p>
    <w:p w:rsidR="00CD54E9" w:rsidRPr="00FA11F9" w:rsidRDefault="00CD54E9" w:rsidP="008E2269">
      <w:pPr>
        <w:spacing w:after="0" w:line="228" w:lineRule="auto"/>
        <w:ind w:firstLine="567"/>
        <w:rPr>
          <w:sz w:val="20"/>
          <w:szCs w:val="20"/>
        </w:rPr>
      </w:pP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NO </w:t>
      </w:r>
      <w:r w:rsidRPr="008E2269">
        <w:rPr>
          <w:sz w:val="20"/>
          <w:szCs w:val="20"/>
          <w:lang w:val="ru-RU"/>
        </w:rPr>
        <w:tab/>
      </w:r>
      <w:r w:rsidRPr="00FA11F9">
        <w:rPr>
          <w:sz w:val="20"/>
          <w:szCs w:val="20"/>
        </w:rPr>
        <w:t>– оксид азоту</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АДФ </w:t>
      </w:r>
      <w:r w:rsidRPr="00CA261F">
        <w:rPr>
          <w:sz w:val="20"/>
          <w:szCs w:val="20"/>
        </w:rPr>
        <w:tab/>
      </w:r>
      <w:r w:rsidRPr="00FA11F9">
        <w:rPr>
          <w:sz w:val="20"/>
          <w:szCs w:val="20"/>
        </w:rPr>
        <w:t>– аденозиндифосфат</w:t>
      </w:r>
    </w:p>
    <w:p w:rsidR="00CD54E9" w:rsidRPr="00FA11F9" w:rsidRDefault="00CD54E9" w:rsidP="008E2269">
      <w:pPr>
        <w:tabs>
          <w:tab w:val="left" w:pos="1560"/>
        </w:tabs>
        <w:spacing w:after="0" w:line="228" w:lineRule="auto"/>
        <w:ind w:firstLine="567"/>
        <w:rPr>
          <w:sz w:val="20"/>
          <w:szCs w:val="20"/>
        </w:rPr>
      </w:pPr>
      <w:r w:rsidRPr="00FA11F9">
        <w:rPr>
          <w:sz w:val="20"/>
          <w:szCs w:val="20"/>
        </w:rPr>
        <w:t>АлАТ</w:t>
      </w:r>
      <w:r w:rsidRPr="00CA261F">
        <w:rPr>
          <w:sz w:val="20"/>
          <w:szCs w:val="20"/>
        </w:rPr>
        <w:tab/>
      </w:r>
      <w:r w:rsidRPr="00FA11F9">
        <w:rPr>
          <w:sz w:val="20"/>
          <w:szCs w:val="20"/>
        </w:rPr>
        <w:t xml:space="preserve"> – аланінамінотрансфераза</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АсАТ </w:t>
      </w:r>
      <w:r w:rsidRPr="00CA261F">
        <w:rPr>
          <w:sz w:val="20"/>
          <w:szCs w:val="20"/>
        </w:rPr>
        <w:tab/>
      </w:r>
      <w:r w:rsidRPr="00FA11F9">
        <w:rPr>
          <w:sz w:val="20"/>
          <w:szCs w:val="20"/>
        </w:rPr>
        <w:t>– аспартатамінотрансфераза</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АТФ </w:t>
      </w:r>
      <w:r w:rsidRPr="008E2269">
        <w:rPr>
          <w:sz w:val="20"/>
          <w:szCs w:val="20"/>
        </w:rPr>
        <w:tab/>
      </w:r>
      <w:r w:rsidRPr="00FA11F9">
        <w:rPr>
          <w:sz w:val="20"/>
          <w:szCs w:val="20"/>
        </w:rPr>
        <w:t>– аденозинтрифосфат</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АФГ </w:t>
      </w:r>
      <w:r w:rsidRPr="008E2269">
        <w:rPr>
          <w:sz w:val="20"/>
          <w:szCs w:val="20"/>
        </w:rPr>
        <w:tab/>
      </w:r>
      <w:r w:rsidRPr="00FA11F9">
        <w:rPr>
          <w:sz w:val="20"/>
          <w:szCs w:val="20"/>
        </w:rPr>
        <w:t>– альдегідфенілгідразони</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ВЗМО </w:t>
      </w:r>
      <w:r w:rsidRPr="008E2269">
        <w:rPr>
          <w:sz w:val="20"/>
          <w:szCs w:val="20"/>
        </w:rPr>
        <w:tab/>
      </w:r>
      <w:r w:rsidRPr="00FA11F9">
        <w:rPr>
          <w:sz w:val="20"/>
          <w:szCs w:val="20"/>
        </w:rPr>
        <w:t>– вища зайнята молекулярна орбіталь</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ГПР </w:t>
      </w:r>
      <w:r w:rsidRPr="008E2269">
        <w:rPr>
          <w:sz w:val="20"/>
          <w:szCs w:val="20"/>
        </w:rPr>
        <w:tab/>
      </w:r>
      <w:r w:rsidRPr="00FA11F9">
        <w:rPr>
          <w:sz w:val="20"/>
          <w:szCs w:val="20"/>
        </w:rPr>
        <w:t>– глутатіонпероксидаза</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ГР </w:t>
      </w:r>
      <w:r w:rsidRPr="008E2269">
        <w:rPr>
          <w:sz w:val="20"/>
          <w:szCs w:val="20"/>
        </w:rPr>
        <w:tab/>
      </w:r>
      <w:r w:rsidRPr="00FA11F9">
        <w:rPr>
          <w:sz w:val="20"/>
          <w:szCs w:val="20"/>
        </w:rPr>
        <w:t>– глутатіонредуктаза</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Д </w:t>
      </w:r>
      <w:r w:rsidRPr="008E2269">
        <w:rPr>
          <w:sz w:val="20"/>
          <w:szCs w:val="20"/>
        </w:rPr>
        <w:tab/>
      </w:r>
      <w:r w:rsidRPr="00FA11F9">
        <w:rPr>
          <w:sz w:val="20"/>
          <w:szCs w:val="20"/>
        </w:rPr>
        <w:t>– дебіт серця</w:t>
      </w:r>
    </w:p>
    <w:p w:rsidR="00CD54E9" w:rsidRPr="00FA11F9" w:rsidRDefault="00CD54E9" w:rsidP="008E2269">
      <w:pPr>
        <w:tabs>
          <w:tab w:val="left" w:pos="1560"/>
        </w:tabs>
        <w:spacing w:after="0" w:line="228" w:lineRule="auto"/>
        <w:ind w:firstLine="567"/>
        <w:rPr>
          <w:sz w:val="20"/>
          <w:szCs w:val="20"/>
        </w:rPr>
      </w:pPr>
      <w:r w:rsidRPr="00FA11F9">
        <w:rPr>
          <w:sz w:val="20"/>
          <w:szCs w:val="20"/>
        </w:rPr>
        <w:t>ДЛ</w:t>
      </w:r>
      <w:r w:rsidRPr="00FA11F9">
        <w:rPr>
          <w:sz w:val="20"/>
          <w:szCs w:val="20"/>
          <w:vertAlign w:val="subscript"/>
        </w:rPr>
        <w:t>50</w:t>
      </w:r>
      <w:r w:rsidRPr="00FA11F9">
        <w:rPr>
          <w:sz w:val="20"/>
          <w:szCs w:val="20"/>
        </w:rPr>
        <w:t xml:space="preserve"> </w:t>
      </w:r>
      <w:r w:rsidRPr="008E2269">
        <w:rPr>
          <w:sz w:val="20"/>
          <w:szCs w:val="20"/>
          <w:lang w:val="ru-RU"/>
        </w:rPr>
        <w:tab/>
      </w:r>
      <w:r w:rsidRPr="00FA11F9">
        <w:rPr>
          <w:sz w:val="20"/>
          <w:szCs w:val="20"/>
        </w:rPr>
        <w:t>– доза, що спричиняє загибель 50% відсотків тварин</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ДМЕБК </w:t>
      </w:r>
      <w:r w:rsidRPr="008E2269">
        <w:rPr>
          <w:sz w:val="20"/>
          <w:szCs w:val="20"/>
        </w:rPr>
        <w:tab/>
      </w:r>
      <w:r w:rsidRPr="00FA11F9">
        <w:rPr>
          <w:sz w:val="20"/>
          <w:szCs w:val="20"/>
        </w:rPr>
        <w:t>– диметиламіноетиловий ефір бурштинової кислоти</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ДНК </w:t>
      </w:r>
      <w:r w:rsidRPr="008E2269">
        <w:rPr>
          <w:sz w:val="20"/>
          <w:szCs w:val="20"/>
        </w:rPr>
        <w:tab/>
      </w:r>
      <w:r w:rsidRPr="00FA11F9">
        <w:rPr>
          <w:sz w:val="20"/>
          <w:szCs w:val="20"/>
        </w:rPr>
        <w:t>– дезоксирибонуклеїнова кислота</w:t>
      </w:r>
    </w:p>
    <w:p w:rsidR="00CD54E9" w:rsidRDefault="00CD54E9" w:rsidP="008E2269">
      <w:pPr>
        <w:tabs>
          <w:tab w:val="left" w:pos="1560"/>
        </w:tabs>
        <w:spacing w:after="0" w:line="228" w:lineRule="auto"/>
        <w:ind w:firstLine="567"/>
        <w:jc w:val="both"/>
        <w:rPr>
          <w:sz w:val="20"/>
          <w:szCs w:val="20"/>
        </w:rPr>
      </w:pPr>
      <w:r w:rsidRPr="00FA11F9">
        <w:rPr>
          <w:sz w:val="20"/>
          <w:szCs w:val="20"/>
        </w:rPr>
        <w:t xml:space="preserve">ДОК </w:t>
      </w:r>
      <w:r w:rsidRPr="008E2269">
        <w:rPr>
          <w:sz w:val="20"/>
          <w:szCs w:val="20"/>
          <w:lang w:val="ru-RU"/>
        </w:rPr>
        <w:tab/>
      </w:r>
      <w:r w:rsidRPr="00FA11F9">
        <w:rPr>
          <w:sz w:val="20"/>
          <w:szCs w:val="20"/>
        </w:rPr>
        <w:t xml:space="preserve">– доксорубіцинова кардіоміопатія </w:t>
      </w:r>
    </w:p>
    <w:p w:rsidR="00CD54E9" w:rsidRPr="00FA11F9" w:rsidRDefault="00CD54E9" w:rsidP="008E2269">
      <w:pPr>
        <w:tabs>
          <w:tab w:val="left" w:pos="1560"/>
        </w:tabs>
        <w:spacing w:after="0" w:line="228" w:lineRule="auto"/>
        <w:ind w:firstLine="567"/>
        <w:jc w:val="both"/>
        <w:rPr>
          <w:sz w:val="20"/>
          <w:szCs w:val="20"/>
        </w:rPr>
      </w:pPr>
      <w:r>
        <w:rPr>
          <w:sz w:val="20"/>
          <w:szCs w:val="20"/>
        </w:rPr>
        <w:t xml:space="preserve">ЕП               </w:t>
      </w:r>
      <w:r w:rsidRPr="00FA11F9">
        <w:rPr>
          <w:sz w:val="20"/>
          <w:szCs w:val="20"/>
        </w:rPr>
        <w:t>–</w:t>
      </w:r>
      <w:r>
        <w:rPr>
          <w:sz w:val="20"/>
          <w:szCs w:val="20"/>
        </w:rPr>
        <w:t xml:space="preserve"> електростатичний потенціал </w:t>
      </w:r>
    </w:p>
    <w:p w:rsidR="00CD54E9" w:rsidRPr="00FA11F9" w:rsidRDefault="00CD54E9" w:rsidP="008E2269">
      <w:pPr>
        <w:tabs>
          <w:tab w:val="left" w:pos="1560"/>
        </w:tabs>
        <w:spacing w:after="0" w:line="228" w:lineRule="auto"/>
        <w:ind w:firstLine="567"/>
        <w:jc w:val="both"/>
        <w:rPr>
          <w:sz w:val="20"/>
          <w:szCs w:val="20"/>
        </w:rPr>
      </w:pPr>
      <w:r w:rsidRPr="00FA11F9">
        <w:rPr>
          <w:sz w:val="20"/>
          <w:szCs w:val="20"/>
        </w:rPr>
        <w:t xml:space="preserve">ЗПО </w:t>
      </w:r>
      <w:r w:rsidRPr="008E2269">
        <w:rPr>
          <w:sz w:val="20"/>
          <w:szCs w:val="20"/>
          <w:lang w:val="ru-RU"/>
        </w:rPr>
        <w:tab/>
      </w:r>
      <w:r w:rsidRPr="00FA11F9">
        <w:rPr>
          <w:sz w:val="20"/>
          <w:szCs w:val="20"/>
        </w:rPr>
        <w:t>– загальний периферичний об’єм</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КФГ </w:t>
      </w:r>
      <w:r w:rsidRPr="008E2269">
        <w:rPr>
          <w:sz w:val="20"/>
          <w:szCs w:val="20"/>
        </w:rPr>
        <w:tab/>
      </w:r>
      <w:r w:rsidRPr="00FA11F9">
        <w:rPr>
          <w:sz w:val="20"/>
          <w:szCs w:val="20"/>
        </w:rPr>
        <w:t>– карбоксифенілгідразона</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ЛЗ </w:t>
      </w:r>
      <w:r w:rsidRPr="008E2269">
        <w:rPr>
          <w:sz w:val="20"/>
          <w:szCs w:val="20"/>
        </w:rPr>
        <w:tab/>
      </w:r>
      <w:r w:rsidRPr="00FA11F9">
        <w:rPr>
          <w:sz w:val="20"/>
          <w:szCs w:val="20"/>
        </w:rPr>
        <w:t>– лікарські засоби</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ЛФ </w:t>
      </w:r>
      <w:r w:rsidRPr="008E2269">
        <w:rPr>
          <w:sz w:val="20"/>
          <w:szCs w:val="20"/>
        </w:rPr>
        <w:tab/>
      </w:r>
      <w:r w:rsidRPr="00FA11F9">
        <w:rPr>
          <w:sz w:val="20"/>
          <w:szCs w:val="20"/>
        </w:rPr>
        <w:t>– лужна фосфатаза</w:t>
      </w:r>
    </w:p>
    <w:p w:rsidR="00CD54E9" w:rsidRDefault="00CD54E9" w:rsidP="008E2269">
      <w:pPr>
        <w:tabs>
          <w:tab w:val="left" w:pos="1560"/>
        </w:tabs>
        <w:spacing w:after="0" w:line="228" w:lineRule="auto"/>
        <w:ind w:firstLine="567"/>
        <w:rPr>
          <w:sz w:val="20"/>
          <w:szCs w:val="20"/>
        </w:rPr>
      </w:pPr>
      <w:r w:rsidRPr="00FA11F9">
        <w:rPr>
          <w:sz w:val="20"/>
          <w:szCs w:val="20"/>
        </w:rPr>
        <w:t xml:space="preserve">ЛШ </w:t>
      </w:r>
      <w:r w:rsidRPr="008E2269">
        <w:rPr>
          <w:sz w:val="20"/>
          <w:szCs w:val="20"/>
          <w:lang w:val="ru-RU"/>
        </w:rPr>
        <w:tab/>
      </w:r>
      <w:r w:rsidRPr="00FA11F9">
        <w:rPr>
          <w:sz w:val="20"/>
          <w:szCs w:val="20"/>
        </w:rPr>
        <w:t>–</w:t>
      </w:r>
      <w:r>
        <w:rPr>
          <w:sz w:val="20"/>
          <w:szCs w:val="20"/>
          <w:lang w:val="ru-RU"/>
        </w:rPr>
        <w:t xml:space="preserve"> </w:t>
      </w:r>
      <w:r w:rsidRPr="00FA11F9">
        <w:rPr>
          <w:sz w:val="20"/>
          <w:szCs w:val="20"/>
        </w:rPr>
        <w:t>лівий шлуночок</w:t>
      </w:r>
    </w:p>
    <w:p w:rsidR="00CD54E9" w:rsidRDefault="00CD54E9" w:rsidP="008E2269">
      <w:pPr>
        <w:tabs>
          <w:tab w:val="left" w:pos="1560"/>
        </w:tabs>
        <w:spacing w:after="0" w:line="228" w:lineRule="auto"/>
        <w:ind w:firstLine="567"/>
        <w:rPr>
          <w:sz w:val="20"/>
          <w:szCs w:val="20"/>
        </w:rPr>
      </w:pPr>
      <w:r>
        <w:rPr>
          <w:sz w:val="20"/>
          <w:szCs w:val="20"/>
        </w:rPr>
        <w:t xml:space="preserve">МДГ            </w:t>
      </w:r>
      <w:r w:rsidRPr="00FA11F9">
        <w:rPr>
          <w:sz w:val="20"/>
          <w:szCs w:val="20"/>
        </w:rPr>
        <w:t>–</w:t>
      </w:r>
      <w:r>
        <w:rPr>
          <w:sz w:val="20"/>
          <w:szCs w:val="20"/>
        </w:rPr>
        <w:t xml:space="preserve"> малатдегідрогеназа</w:t>
      </w:r>
    </w:p>
    <w:p w:rsidR="00CD54E9" w:rsidRDefault="00CD54E9" w:rsidP="008E2269">
      <w:pPr>
        <w:tabs>
          <w:tab w:val="left" w:pos="1560"/>
        </w:tabs>
        <w:spacing w:after="0" w:line="228" w:lineRule="auto"/>
        <w:ind w:firstLine="567"/>
        <w:rPr>
          <w:sz w:val="20"/>
          <w:szCs w:val="20"/>
        </w:rPr>
      </w:pPr>
      <w:r>
        <w:rPr>
          <w:sz w:val="20"/>
          <w:szCs w:val="20"/>
        </w:rPr>
        <w:t xml:space="preserve">МО              </w:t>
      </w:r>
      <w:r w:rsidRPr="00FA11F9">
        <w:rPr>
          <w:sz w:val="20"/>
          <w:szCs w:val="20"/>
        </w:rPr>
        <w:t>–</w:t>
      </w:r>
      <w:r>
        <w:rPr>
          <w:sz w:val="20"/>
          <w:szCs w:val="20"/>
        </w:rPr>
        <w:t xml:space="preserve"> молекулярні орбіталі</w:t>
      </w:r>
    </w:p>
    <w:p w:rsidR="00CD54E9" w:rsidRPr="00FA11F9" w:rsidRDefault="00CD54E9" w:rsidP="008E2269">
      <w:pPr>
        <w:tabs>
          <w:tab w:val="left" w:pos="1560"/>
        </w:tabs>
        <w:spacing w:after="0" w:line="228" w:lineRule="auto"/>
        <w:ind w:firstLine="567"/>
        <w:rPr>
          <w:sz w:val="20"/>
          <w:szCs w:val="20"/>
        </w:rPr>
      </w:pPr>
      <w:r>
        <w:rPr>
          <w:sz w:val="20"/>
          <w:szCs w:val="20"/>
        </w:rPr>
        <w:t xml:space="preserve">МП              </w:t>
      </w:r>
      <w:r w:rsidRPr="00FA11F9">
        <w:rPr>
          <w:sz w:val="20"/>
          <w:szCs w:val="20"/>
        </w:rPr>
        <w:t>–</w:t>
      </w:r>
      <w:r>
        <w:rPr>
          <w:sz w:val="20"/>
          <w:szCs w:val="20"/>
        </w:rPr>
        <w:t xml:space="preserve"> мітохондріальна пора</w:t>
      </w:r>
    </w:p>
    <w:p w:rsidR="00CD54E9" w:rsidRDefault="00CD54E9" w:rsidP="008E2269">
      <w:pPr>
        <w:tabs>
          <w:tab w:val="left" w:pos="1560"/>
        </w:tabs>
        <w:spacing w:after="0" w:line="228" w:lineRule="auto"/>
        <w:ind w:firstLine="567"/>
        <w:rPr>
          <w:sz w:val="20"/>
          <w:szCs w:val="20"/>
          <w:lang w:val="ru-RU"/>
        </w:rPr>
      </w:pPr>
      <w:r w:rsidRPr="00FA11F9">
        <w:rPr>
          <w:sz w:val="20"/>
          <w:szCs w:val="20"/>
        </w:rPr>
        <w:t xml:space="preserve">НВМО </w:t>
      </w:r>
      <w:r w:rsidRPr="008E2269">
        <w:rPr>
          <w:sz w:val="20"/>
          <w:szCs w:val="20"/>
          <w:lang w:val="ru-RU"/>
        </w:rPr>
        <w:tab/>
      </w:r>
      <w:r w:rsidRPr="00FA11F9">
        <w:rPr>
          <w:sz w:val="20"/>
          <w:szCs w:val="20"/>
        </w:rPr>
        <w:t>– нижча вакантна молекулярна орбіталь</w:t>
      </w:r>
    </w:p>
    <w:p w:rsidR="00CD54E9" w:rsidRPr="00CA261F" w:rsidRDefault="00CD54E9" w:rsidP="008E2269">
      <w:pPr>
        <w:tabs>
          <w:tab w:val="left" w:pos="1560"/>
        </w:tabs>
        <w:spacing w:after="0" w:line="228" w:lineRule="auto"/>
        <w:ind w:firstLine="567"/>
        <w:rPr>
          <w:sz w:val="20"/>
          <w:szCs w:val="20"/>
          <w:lang w:val="ru-RU"/>
        </w:rPr>
      </w:pPr>
      <w:r>
        <w:rPr>
          <w:sz w:val="20"/>
          <w:szCs w:val="20"/>
          <w:lang w:val="ru-RU"/>
        </w:rPr>
        <w:t xml:space="preserve">НМУ           </w:t>
      </w:r>
      <w:r w:rsidRPr="00FA11F9">
        <w:rPr>
          <w:sz w:val="20"/>
          <w:szCs w:val="20"/>
        </w:rPr>
        <w:t>–</w:t>
      </w:r>
      <w:r>
        <w:rPr>
          <w:sz w:val="20"/>
          <w:szCs w:val="20"/>
          <w:lang w:val="ru-RU"/>
        </w:rPr>
        <w:t xml:space="preserve"> Нац</w:t>
      </w:r>
      <w:r>
        <w:rPr>
          <w:sz w:val="20"/>
          <w:szCs w:val="20"/>
        </w:rPr>
        <w:t>іональний медичний університет</w:t>
      </w:r>
      <w:r>
        <w:rPr>
          <w:sz w:val="20"/>
          <w:szCs w:val="20"/>
          <w:lang w:val="ru-RU"/>
        </w:rPr>
        <w:t xml:space="preserve"> </w:t>
      </w:r>
    </w:p>
    <w:p w:rsidR="00CD54E9" w:rsidRPr="00FA11F9" w:rsidRDefault="00CD54E9" w:rsidP="008E2269">
      <w:pPr>
        <w:tabs>
          <w:tab w:val="left" w:pos="1560"/>
        </w:tabs>
        <w:spacing w:after="0" w:line="228" w:lineRule="auto"/>
        <w:ind w:firstLine="567"/>
        <w:jc w:val="both"/>
        <w:rPr>
          <w:sz w:val="20"/>
          <w:szCs w:val="20"/>
        </w:rPr>
      </w:pPr>
      <w:r w:rsidRPr="00FA11F9">
        <w:rPr>
          <w:sz w:val="20"/>
          <w:szCs w:val="20"/>
        </w:rPr>
        <w:t xml:space="preserve">НФ </w:t>
      </w:r>
      <w:r w:rsidRPr="008E2269">
        <w:rPr>
          <w:sz w:val="20"/>
          <w:szCs w:val="20"/>
          <w:lang w:val="ru-RU"/>
        </w:rPr>
        <w:tab/>
      </w:r>
      <w:r w:rsidRPr="00FA11F9">
        <w:rPr>
          <w:sz w:val="20"/>
          <w:szCs w:val="20"/>
        </w:rPr>
        <w:t>– натрію фторид</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ПДМЕБК </w:t>
      </w:r>
      <w:r w:rsidRPr="008E2269">
        <w:rPr>
          <w:sz w:val="20"/>
          <w:szCs w:val="20"/>
          <w:lang w:val="ru-RU"/>
        </w:rPr>
        <w:tab/>
      </w:r>
      <w:r w:rsidRPr="00FA11F9">
        <w:rPr>
          <w:sz w:val="20"/>
          <w:szCs w:val="20"/>
        </w:rPr>
        <w:t>– протонована форма диметиламіноетилового ефіру</w:t>
      </w:r>
      <w:r w:rsidRPr="00FA11F9">
        <w:rPr>
          <w:sz w:val="20"/>
          <w:szCs w:val="20"/>
        </w:rPr>
        <w:br/>
      </w:r>
      <w:r w:rsidRPr="00FA11F9">
        <w:rPr>
          <w:sz w:val="20"/>
          <w:szCs w:val="20"/>
        </w:rPr>
        <w:tab/>
        <w:t xml:space="preserve">   бурштинової кислоти</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ПНЖК </w:t>
      </w:r>
      <w:r w:rsidRPr="008E2269">
        <w:rPr>
          <w:sz w:val="20"/>
          <w:szCs w:val="20"/>
        </w:rPr>
        <w:tab/>
      </w:r>
      <w:r w:rsidRPr="00FA11F9">
        <w:rPr>
          <w:sz w:val="20"/>
          <w:szCs w:val="20"/>
        </w:rPr>
        <w:t>– поліненасичені жирні кислоти</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РІЛШ </w:t>
      </w:r>
      <w:r w:rsidRPr="008E2269">
        <w:rPr>
          <w:sz w:val="20"/>
          <w:szCs w:val="20"/>
        </w:rPr>
        <w:tab/>
      </w:r>
      <w:r w:rsidRPr="00FA11F9">
        <w:rPr>
          <w:sz w:val="20"/>
          <w:szCs w:val="20"/>
        </w:rPr>
        <w:t>– робочий індекс лівого шлуночка</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Рмакс. </w:t>
      </w:r>
      <w:r w:rsidRPr="008E2269">
        <w:rPr>
          <w:sz w:val="20"/>
          <w:szCs w:val="20"/>
          <w:lang w:val="ru-RU"/>
        </w:rPr>
        <w:tab/>
      </w:r>
      <w:r w:rsidRPr="00FA11F9">
        <w:rPr>
          <w:sz w:val="20"/>
          <w:szCs w:val="20"/>
        </w:rPr>
        <w:t>– максимальний тиск лівого шлуночка</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РУІЛШ </w:t>
      </w:r>
      <w:r w:rsidRPr="008E2269">
        <w:rPr>
          <w:sz w:val="20"/>
          <w:szCs w:val="20"/>
          <w:lang w:val="ru-RU"/>
        </w:rPr>
        <w:tab/>
      </w:r>
      <w:r w:rsidRPr="00FA11F9">
        <w:rPr>
          <w:sz w:val="20"/>
          <w:szCs w:val="20"/>
        </w:rPr>
        <w:t>– робочий ударний індекс лівого шлуночка</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САТ </w:t>
      </w:r>
      <w:r w:rsidRPr="008E2269">
        <w:rPr>
          <w:sz w:val="20"/>
          <w:szCs w:val="20"/>
          <w:lang w:val="ru-RU"/>
        </w:rPr>
        <w:tab/>
      </w:r>
      <w:r w:rsidRPr="00FA11F9">
        <w:rPr>
          <w:sz w:val="20"/>
          <w:szCs w:val="20"/>
        </w:rPr>
        <w:t>– системний артеріальний тиск</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СиІ </w:t>
      </w:r>
      <w:r w:rsidRPr="008E2269">
        <w:rPr>
          <w:sz w:val="20"/>
          <w:szCs w:val="20"/>
          <w:lang w:val="ru-RU"/>
        </w:rPr>
        <w:tab/>
      </w:r>
      <w:r w:rsidRPr="00FA11F9">
        <w:rPr>
          <w:sz w:val="20"/>
          <w:szCs w:val="20"/>
        </w:rPr>
        <w:t>– систолічний індекс</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СІ </w:t>
      </w:r>
      <w:r w:rsidRPr="008E2269">
        <w:rPr>
          <w:sz w:val="20"/>
          <w:szCs w:val="20"/>
          <w:lang w:val="ru-RU"/>
        </w:rPr>
        <w:tab/>
      </w:r>
      <w:r w:rsidRPr="00FA11F9">
        <w:rPr>
          <w:sz w:val="20"/>
          <w:szCs w:val="20"/>
        </w:rPr>
        <w:t>– серцевий індекс</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СОД </w:t>
      </w:r>
      <w:r w:rsidRPr="008E2269">
        <w:rPr>
          <w:sz w:val="20"/>
          <w:szCs w:val="20"/>
          <w:lang w:val="ru-RU"/>
        </w:rPr>
        <w:tab/>
      </w:r>
      <w:r w:rsidRPr="00FA11F9">
        <w:rPr>
          <w:sz w:val="20"/>
          <w:szCs w:val="20"/>
        </w:rPr>
        <w:t>– супероксиддисмутаза</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УОК </w:t>
      </w:r>
      <w:r w:rsidRPr="008E2269">
        <w:rPr>
          <w:sz w:val="20"/>
          <w:szCs w:val="20"/>
          <w:lang w:val="ru-RU"/>
        </w:rPr>
        <w:tab/>
      </w:r>
      <w:r w:rsidRPr="00FA11F9">
        <w:rPr>
          <w:sz w:val="20"/>
          <w:szCs w:val="20"/>
        </w:rPr>
        <w:t>– ударний об’єм крові</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ФУР </w:t>
      </w:r>
      <w:r w:rsidRPr="008E2269">
        <w:rPr>
          <w:sz w:val="20"/>
          <w:szCs w:val="20"/>
          <w:lang w:val="ru-RU"/>
        </w:rPr>
        <w:tab/>
      </w:r>
      <w:r w:rsidRPr="00FA11F9">
        <w:rPr>
          <w:sz w:val="20"/>
          <w:szCs w:val="20"/>
        </w:rPr>
        <w:t>– фторурацил</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ХОК </w:t>
      </w:r>
      <w:r w:rsidRPr="008E2269">
        <w:rPr>
          <w:sz w:val="20"/>
          <w:szCs w:val="20"/>
          <w:lang w:val="ru-RU"/>
        </w:rPr>
        <w:tab/>
      </w:r>
      <w:r w:rsidRPr="00FA11F9">
        <w:rPr>
          <w:sz w:val="20"/>
          <w:szCs w:val="20"/>
        </w:rPr>
        <w:t>– хвилинний об’єм крові</w:t>
      </w:r>
    </w:p>
    <w:p w:rsidR="00CD54E9" w:rsidRPr="00FA11F9" w:rsidRDefault="00CD54E9" w:rsidP="008E2269">
      <w:pPr>
        <w:tabs>
          <w:tab w:val="left" w:pos="1560"/>
        </w:tabs>
        <w:spacing w:after="0" w:line="228" w:lineRule="auto"/>
        <w:ind w:firstLine="567"/>
        <w:rPr>
          <w:sz w:val="20"/>
          <w:szCs w:val="20"/>
        </w:rPr>
      </w:pPr>
      <w:r w:rsidRPr="00FA11F9">
        <w:rPr>
          <w:sz w:val="20"/>
          <w:szCs w:val="20"/>
        </w:rPr>
        <w:t xml:space="preserve">ЧСС </w:t>
      </w:r>
      <w:r w:rsidRPr="008E2269">
        <w:rPr>
          <w:sz w:val="20"/>
          <w:szCs w:val="20"/>
          <w:lang w:val="ru-RU"/>
        </w:rPr>
        <w:tab/>
      </w:r>
      <w:r w:rsidRPr="00FA11F9">
        <w:rPr>
          <w:sz w:val="20"/>
          <w:szCs w:val="20"/>
        </w:rPr>
        <w:t>– частота серцевих скорочень</w:t>
      </w:r>
    </w:p>
    <w:p w:rsidR="00CD54E9" w:rsidRPr="00FA11F9" w:rsidRDefault="00CD54E9" w:rsidP="008E2269">
      <w:pPr>
        <w:spacing w:after="0" w:line="228" w:lineRule="auto"/>
        <w:ind w:firstLine="567"/>
        <w:jc w:val="both"/>
        <w:rPr>
          <w:sz w:val="20"/>
          <w:szCs w:val="20"/>
        </w:rPr>
      </w:pPr>
    </w:p>
    <w:p w:rsidR="00CD54E9" w:rsidRPr="008E2269" w:rsidRDefault="00CD54E9" w:rsidP="008E2269">
      <w:pPr>
        <w:jc w:val="center"/>
        <w:rPr>
          <w:sz w:val="12"/>
          <w:lang w:val="ru-RU"/>
        </w:rPr>
      </w:pPr>
    </w:p>
    <w:p w:rsidR="00CD54E9" w:rsidRPr="008E2269" w:rsidRDefault="00CD54E9" w:rsidP="008E2269">
      <w:pPr>
        <w:jc w:val="center"/>
        <w:rPr>
          <w:sz w:val="12"/>
          <w:lang w:val="ru-RU"/>
        </w:rPr>
      </w:pPr>
    </w:p>
    <w:p w:rsidR="00CD54E9" w:rsidRPr="008345B7" w:rsidRDefault="00CD54E9" w:rsidP="008E2269">
      <w:pPr>
        <w:spacing w:after="0" w:line="240" w:lineRule="auto"/>
        <w:jc w:val="center"/>
        <w:rPr>
          <w:sz w:val="12"/>
        </w:rPr>
      </w:pPr>
      <w:r w:rsidRPr="008345B7">
        <w:rPr>
          <w:sz w:val="12"/>
        </w:rPr>
        <w:t xml:space="preserve">Підписано до друку </w:t>
      </w:r>
      <w:r w:rsidRPr="008E2269">
        <w:rPr>
          <w:sz w:val="12"/>
          <w:lang w:val="ru-RU"/>
        </w:rPr>
        <w:t>2</w:t>
      </w:r>
      <w:r>
        <w:rPr>
          <w:sz w:val="12"/>
        </w:rPr>
        <w:t>1</w:t>
      </w:r>
      <w:r w:rsidRPr="008345B7">
        <w:rPr>
          <w:sz w:val="12"/>
        </w:rPr>
        <w:t>.</w:t>
      </w:r>
      <w:r w:rsidRPr="008E2269">
        <w:rPr>
          <w:sz w:val="12"/>
          <w:lang w:val="ru-RU"/>
        </w:rPr>
        <w:t>09</w:t>
      </w:r>
      <w:r w:rsidRPr="008345B7">
        <w:rPr>
          <w:sz w:val="12"/>
        </w:rPr>
        <w:t>.20</w:t>
      </w:r>
      <w:r>
        <w:rPr>
          <w:sz w:val="12"/>
        </w:rPr>
        <w:t>1</w:t>
      </w:r>
      <w:r w:rsidRPr="008E2269">
        <w:rPr>
          <w:sz w:val="12"/>
          <w:lang w:val="ru-RU"/>
        </w:rPr>
        <w:t>6</w:t>
      </w:r>
      <w:r w:rsidRPr="008345B7">
        <w:rPr>
          <w:sz w:val="12"/>
        </w:rPr>
        <w:t xml:space="preserve"> р. Формат 60</w:t>
      </w:r>
      <w:r w:rsidRPr="008345B7">
        <w:rPr>
          <w:sz w:val="12"/>
          <w:szCs w:val="12"/>
        </w:rPr>
        <w:sym w:font="Symbol" w:char="F0B4"/>
      </w:r>
      <w:r w:rsidRPr="008345B7">
        <w:rPr>
          <w:sz w:val="12"/>
        </w:rPr>
        <w:t xml:space="preserve">84/16. Обсяг </w:t>
      </w:r>
      <w:r w:rsidRPr="008E2269">
        <w:rPr>
          <w:sz w:val="12"/>
          <w:lang w:val="ru-RU"/>
        </w:rPr>
        <w:t>0</w:t>
      </w:r>
      <w:r w:rsidRPr="008345B7">
        <w:rPr>
          <w:sz w:val="12"/>
        </w:rPr>
        <w:t>,</w:t>
      </w:r>
      <w:r w:rsidRPr="008E2269">
        <w:rPr>
          <w:sz w:val="12"/>
          <w:lang w:val="ru-RU"/>
        </w:rPr>
        <w:t>9</w:t>
      </w:r>
      <w:r w:rsidRPr="008345B7">
        <w:rPr>
          <w:sz w:val="12"/>
        </w:rPr>
        <w:t xml:space="preserve"> </w:t>
      </w:r>
      <w:r>
        <w:rPr>
          <w:sz w:val="12"/>
        </w:rPr>
        <w:t>авт</w:t>
      </w:r>
      <w:r w:rsidRPr="008345B7">
        <w:rPr>
          <w:sz w:val="12"/>
        </w:rPr>
        <w:t>. арк. Зам. №</w:t>
      </w:r>
      <w:r w:rsidRPr="008E2269">
        <w:rPr>
          <w:sz w:val="12"/>
          <w:lang w:val="ru-RU"/>
        </w:rPr>
        <w:t>217</w:t>
      </w:r>
      <w:r w:rsidRPr="008345B7">
        <w:rPr>
          <w:sz w:val="12"/>
        </w:rPr>
        <w:t>. Наклад</w:t>
      </w:r>
      <w:r w:rsidRPr="008E2269">
        <w:rPr>
          <w:sz w:val="12"/>
          <w:lang w:val="ru-RU"/>
        </w:rPr>
        <w:t xml:space="preserve"> 100</w:t>
      </w:r>
      <w:r w:rsidRPr="008345B7">
        <w:rPr>
          <w:sz w:val="12"/>
        </w:rPr>
        <w:t xml:space="preserve">. </w:t>
      </w:r>
    </w:p>
    <w:p w:rsidR="00CD54E9" w:rsidRDefault="00CD54E9" w:rsidP="008E2269">
      <w:pPr>
        <w:spacing w:before="80" w:after="0" w:line="240" w:lineRule="auto"/>
        <w:jc w:val="center"/>
        <w:rPr>
          <w:sz w:val="12"/>
        </w:rPr>
      </w:pPr>
      <w:r>
        <w:rPr>
          <w:noProof/>
          <w:lang w:val="en-US"/>
        </w:rPr>
        <w:pict>
          <v:line id="_x0000_s1030" style="position:absolute;left:0;text-align:left;z-index:251659776" from="1.35pt,2.7pt" to="315.65pt,2.7pt" strokeweight=".25pt"/>
        </w:pict>
      </w:r>
      <w:r w:rsidRPr="008345B7">
        <w:rPr>
          <w:sz w:val="12"/>
        </w:rPr>
        <w:t>Друкарня НМУ, Київ – 57, проспект Перемоги, 34</w:t>
      </w:r>
    </w:p>
    <w:p w:rsidR="00CD54E9" w:rsidRPr="00FA11F9" w:rsidRDefault="00CD54E9" w:rsidP="008E2269">
      <w:pPr>
        <w:tabs>
          <w:tab w:val="left" w:pos="851"/>
        </w:tabs>
        <w:spacing w:after="0" w:line="228" w:lineRule="auto"/>
        <w:ind w:firstLine="567"/>
        <w:jc w:val="center"/>
        <w:rPr>
          <w:sz w:val="20"/>
          <w:szCs w:val="20"/>
        </w:rPr>
      </w:pPr>
    </w:p>
    <w:p w:rsidR="00CD54E9" w:rsidRDefault="00CD54E9"/>
    <w:sectPr w:rsidR="00CD54E9" w:rsidSect="00922589">
      <w:pgSz w:w="8392" w:h="11907" w:code="11"/>
      <w:pgMar w:top="851" w:right="1021" w:bottom="1021" w:left="851" w:header="709" w:footer="709"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8501E"/>
    <w:multiLevelType w:val="hybridMultilevel"/>
    <w:tmpl w:val="893EB17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216A229C"/>
    <w:multiLevelType w:val="hybridMultilevel"/>
    <w:tmpl w:val="5AFCE12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345A162A"/>
    <w:multiLevelType w:val="hybridMultilevel"/>
    <w:tmpl w:val="ECE257A8"/>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3">
    <w:nsid w:val="34E320F4"/>
    <w:multiLevelType w:val="hybridMultilevel"/>
    <w:tmpl w:val="757479B8"/>
    <w:lvl w:ilvl="0" w:tplc="BC34963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35C337A5"/>
    <w:multiLevelType w:val="hybridMultilevel"/>
    <w:tmpl w:val="F3800F9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67711CD7"/>
    <w:multiLevelType w:val="hybridMultilevel"/>
    <w:tmpl w:val="3CE699A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nsid w:val="6DF51A4C"/>
    <w:multiLevelType w:val="hybridMultilevel"/>
    <w:tmpl w:val="12F2421C"/>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7">
    <w:nsid w:val="744143B1"/>
    <w:multiLevelType w:val="hybridMultilevel"/>
    <w:tmpl w:val="3C76042A"/>
    <w:lvl w:ilvl="0" w:tplc="9DC413C2">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4786724"/>
    <w:multiLevelType w:val="singleLevel"/>
    <w:tmpl w:val="71BE0FE4"/>
    <w:lvl w:ilvl="0">
      <w:start w:val="1"/>
      <w:numFmt w:val="decimal"/>
      <w:lvlText w:val="%1."/>
      <w:legacy w:legacy="1" w:legacySpace="0" w:legacyIndent="739"/>
      <w:lvlJc w:val="left"/>
      <w:rPr>
        <w:rFonts w:ascii="Times New Roman" w:hAnsi="Times New Roman" w:cs="Times New Roman" w:hint="default"/>
        <w:b w:val="0"/>
      </w:rPr>
    </w:lvl>
  </w:abstractNum>
  <w:num w:numId="1">
    <w:abstractNumId w:val="8"/>
  </w:num>
  <w:num w:numId="2">
    <w:abstractNumId w:val="5"/>
  </w:num>
  <w:num w:numId="3">
    <w:abstractNumId w:val="2"/>
  </w:num>
  <w:num w:numId="4">
    <w:abstractNumId w:val="3"/>
  </w:num>
  <w:num w:numId="5">
    <w:abstractNumId w:val="6"/>
  </w:num>
  <w:num w:numId="6">
    <w:abstractNumId w:val="1"/>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269"/>
    <w:rsid w:val="0003080C"/>
    <w:rsid w:val="00040C5D"/>
    <w:rsid w:val="00165227"/>
    <w:rsid w:val="002B4732"/>
    <w:rsid w:val="002C48BC"/>
    <w:rsid w:val="00330D6B"/>
    <w:rsid w:val="003736AB"/>
    <w:rsid w:val="004A61C1"/>
    <w:rsid w:val="006834E9"/>
    <w:rsid w:val="00700D52"/>
    <w:rsid w:val="008345B7"/>
    <w:rsid w:val="008E2269"/>
    <w:rsid w:val="00922589"/>
    <w:rsid w:val="00AB5902"/>
    <w:rsid w:val="00C403F0"/>
    <w:rsid w:val="00CA261F"/>
    <w:rsid w:val="00CD54E9"/>
    <w:rsid w:val="00D407C3"/>
    <w:rsid w:val="00E16BC4"/>
    <w:rsid w:val="00FA11F9"/>
    <w:rsid w:val="00FA20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269"/>
    <w:pPr>
      <w:spacing w:after="200" w:line="276" w:lineRule="auto"/>
    </w:pPr>
    <w:rPr>
      <w:rFonts w:ascii="Times New Roman" w:hAnsi="Times New Roman"/>
      <w:lang w:val="uk-UA"/>
    </w:rPr>
  </w:style>
  <w:style w:type="paragraph" w:styleId="Heading2">
    <w:name w:val="heading 2"/>
    <w:basedOn w:val="Normal"/>
    <w:next w:val="Normal"/>
    <w:link w:val="Heading2Char"/>
    <w:uiPriority w:val="99"/>
    <w:qFormat/>
    <w:rsid w:val="008E2269"/>
    <w:pPr>
      <w:keepNext/>
      <w:suppressAutoHyphens/>
      <w:spacing w:after="0" w:line="240" w:lineRule="auto"/>
      <w:outlineLvl w:val="1"/>
    </w:pPr>
    <w:rPr>
      <w:rFonts w:eastAsia="Times New Roman"/>
      <w:b/>
      <w:color w:val="000000"/>
      <w:sz w:val="28"/>
      <w:szCs w:val="20"/>
      <w:lang w:val="ru-RU" w:eastAsia="ar-SA"/>
    </w:rPr>
  </w:style>
  <w:style w:type="paragraph" w:styleId="Heading5">
    <w:name w:val="heading 5"/>
    <w:basedOn w:val="Normal"/>
    <w:next w:val="Normal"/>
    <w:link w:val="Heading5Char"/>
    <w:uiPriority w:val="99"/>
    <w:qFormat/>
    <w:rsid w:val="008E2269"/>
    <w:pPr>
      <w:suppressAutoHyphens/>
      <w:spacing w:after="0" w:line="240" w:lineRule="auto"/>
      <w:outlineLvl w:val="4"/>
    </w:pPr>
    <w:rPr>
      <w:rFonts w:eastAsia="Times New Roman"/>
      <w:b/>
      <w:bCs/>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8E2269"/>
    <w:rPr>
      <w:rFonts w:ascii="Times New Roman" w:hAnsi="Times New Roman" w:cs="Times New Roman"/>
      <w:b/>
      <w:color w:val="000000"/>
      <w:sz w:val="20"/>
      <w:szCs w:val="20"/>
      <w:lang w:eastAsia="ar-SA" w:bidi="ar-SA"/>
    </w:rPr>
  </w:style>
  <w:style w:type="character" w:customStyle="1" w:styleId="Heading5Char">
    <w:name w:val="Heading 5 Char"/>
    <w:basedOn w:val="DefaultParagraphFont"/>
    <w:link w:val="Heading5"/>
    <w:uiPriority w:val="99"/>
    <w:locked/>
    <w:rsid w:val="008E2269"/>
    <w:rPr>
      <w:rFonts w:ascii="Times New Roman" w:hAnsi="Times New Roman" w:cs="Times New Roman"/>
      <w:b/>
      <w:bCs/>
      <w:sz w:val="28"/>
      <w:szCs w:val="28"/>
      <w:lang w:val="uk-UA" w:eastAsia="ar-SA" w:bidi="ar-SA"/>
    </w:rPr>
  </w:style>
  <w:style w:type="paragraph" w:customStyle="1" w:styleId="21">
    <w:name w:val="Средняя сетка 21"/>
    <w:uiPriority w:val="99"/>
    <w:rsid w:val="008E2269"/>
    <w:rPr>
      <w:lang w:val="uk-UA"/>
    </w:rPr>
  </w:style>
  <w:style w:type="paragraph" w:styleId="NoSpacing">
    <w:name w:val="No Spacing"/>
    <w:uiPriority w:val="99"/>
    <w:qFormat/>
    <w:rsid w:val="008E2269"/>
    <w:rPr>
      <w:lang w:val="uk-UA"/>
    </w:rPr>
  </w:style>
  <w:style w:type="paragraph" w:customStyle="1" w:styleId="TnR14-1">
    <w:name w:val="TnR14-1"/>
    <w:aliases w:val="5-1.25"/>
    <w:basedOn w:val="Normal"/>
    <w:uiPriority w:val="99"/>
    <w:rsid w:val="008E2269"/>
    <w:pPr>
      <w:suppressAutoHyphens/>
      <w:spacing w:after="0" w:line="360" w:lineRule="auto"/>
      <w:ind w:firstLine="708"/>
      <w:jc w:val="both"/>
    </w:pPr>
    <w:rPr>
      <w:rFonts w:eastAsia="Times New Roman"/>
      <w:sz w:val="28"/>
      <w:szCs w:val="28"/>
      <w:lang w:eastAsia="ar-SA"/>
    </w:rPr>
  </w:style>
  <w:style w:type="paragraph" w:styleId="BalloonText">
    <w:name w:val="Balloon Text"/>
    <w:basedOn w:val="Normal"/>
    <w:link w:val="BalloonTextChar"/>
    <w:uiPriority w:val="99"/>
    <w:semiHidden/>
    <w:rsid w:val="008E2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2269"/>
    <w:rPr>
      <w:rFonts w:ascii="Tahoma" w:hAnsi="Tahoma" w:cs="Tahoma"/>
      <w:sz w:val="16"/>
      <w:szCs w:val="16"/>
      <w:lang w:val="uk-UA"/>
    </w:rPr>
  </w:style>
  <w:style w:type="paragraph" w:styleId="ListParagraph">
    <w:name w:val="List Paragraph"/>
    <w:basedOn w:val="Normal"/>
    <w:uiPriority w:val="99"/>
    <w:qFormat/>
    <w:rsid w:val="008E2269"/>
    <w:pPr>
      <w:spacing w:after="0" w:line="240" w:lineRule="auto"/>
      <w:ind w:left="720"/>
      <w:contextualSpacing/>
    </w:pPr>
    <w:rPr>
      <w:rFonts w:eastAsia="Times New Roman"/>
      <w:sz w:val="24"/>
      <w:szCs w:val="24"/>
      <w:lang w:eastAsia="uk-UA"/>
    </w:rPr>
  </w:style>
  <w:style w:type="table" w:styleId="TableGrid">
    <w:name w:val="Table Grid"/>
    <w:basedOn w:val="TableNormal"/>
    <w:uiPriority w:val="99"/>
    <w:rsid w:val="008E2269"/>
    <w:rPr>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E2269"/>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8E2269"/>
    <w:rPr>
      <w:rFonts w:ascii="Times New Roman" w:hAnsi="Times New Roman" w:cs="Times New Roman"/>
      <w:lang w:val="uk-UA"/>
    </w:rPr>
  </w:style>
  <w:style w:type="paragraph" w:styleId="Footer">
    <w:name w:val="footer"/>
    <w:basedOn w:val="Normal"/>
    <w:link w:val="FooterChar"/>
    <w:uiPriority w:val="99"/>
    <w:rsid w:val="008E2269"/>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8E2269"/>
    <w:rPr>
      <w:rFonts w:ascii="Times New Roman" w:hAnsi="Times New Roman" w:cs="Times New Roman"/>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27</Pages>
  <Words>-32766</Words>
  <Characters>22163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CRB2</dc:creator>
  <cp:keywords/>
  <dc:description/>
  <cp:lastModifiedBy>Alex93</cp:lastModifiedBy>
  <cp:revision>4</cp:revision>
  <dcterms:created xsi:type="dcterms:W3CDTF">2016-10-10T08:50:00Z</dcterms:created>
  <dcterms:modified xsi:type="dcterms:W3CDTF">2016-11-06T12:57:00Z</dcterms:modified>
</cp:coreProperties>
</file>