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3C" w:rsidRPr="00E87CD9" w:rsidRDefault="00E0513C" w:rsidP="00E0513C">
      <w:pPr>
        <w:pStyle w:val="Default"/>
        <w:jc w:val="center"/>
        <w:rPr>
          <w:color w:val="auto"/>
          <w:sz w:val="28"/>
          <w:lang w:val="uk-UA"/>
        </w:rPr>
      </w:pPr>
      <w:r w:rsidRPr="00E87CD9">
        <w:rPr>
          <w:color w:val="auto"/>
          <w:sz w:val="28"/>
          <w:lang w:val="uk-UA"/>
        </w:rPr>
        <w:t>НАЦІОНАЛЬНА АКАДЕМІЯ МЕДИЧНИХ НАУК УКРАЇНИ</w:t>
      </w:r>
    </w:p>
    <w:p w:rsidR="00E0513C" w:rsidRPr="00E87CD9" w:rsidRDefault="00E0513C" w:rsidP="00E0513C">
      <w:pPr>
        <w:pStyle w:val="Default"/>
        <w:jc w:val="center"/>
        <w:rPr>
          <w:color w:val="auto"/>
          <w:sz w:val="28"/>
          <w:lang w:val="uk-UA"/>
        </w:rPr>
      </w:pPr>
      <w:r w:rsidRPr="00E87CD9">
        <w:rPr>
          <w:color w:val="auto"/>
          <w:sz w:val="28"/>
          <w:lang w:val="uk-UA"/>
        </w:rPr>
        <w:t>ДЕРЖАВНА УСТАНОВА</w:t>
      </w:r>
    </w:p>
    <w:p w:rsidR="00E0513C" w:rsidRPr="00E87CD9" w:rsidRDefault="00E0513C" w:rsidP="00E0513C">
      <w:pPr>
        <w:pStyle w:val="Default"/>
        <w:jc w:val="center"/>
        <w:rPr>
          <w:color w:val="auto"/>
          <w:sz w:val="28"/>
          <w:lang w:val="uk-UA"/>
        </w:rPr>
      </w:pPr>
      <w:r w:rsidRPr="00E87CD9">
        <w:rPr>
          <w:color w:val="auto"/>
          <w:sz w:val="28"/>
          <w:lang w:val="uk-UA"/>
        </w:rPr>
        <w:t>«ІНСТИТУТ ФАРМАКОЛОГІЇ ТА ТОКСИКОЛОГІЇ НАМН УКРАЇНИ»</w:t>
      </w:r>
    </w:p>
    <w:p w:rsidR="00E0513C" w:rsidRPr="00E87CD9" w:rsidRDefault="00E0513C" w:rsidP="00E0513C">
      <w:pPr>
        <w:pStyle w:val="Default"/>
        <w:rPr>
          <w:color w:val="auto"/>
          <w:lang w:val="uk-UA"/>
        </w:rPr>
      </w:pPr>
    </w:p>
    <w:p w:rsidR="00E0513C" w:rsidRPr="00E87CD9" w:rsidRDefault="00E0513C" w:rsidP="00E0513C">
      <w:pPr>
        <w:pStyle w:val="Default"/>
        <w:rPr>
          <w:color w:val="auto"/>
          <w:lang w:val="uk-UA"/>
        </w:rPr>
      </w:pPr>
    </w:p>
    <w:p w:rsidR="00E0513C" w:rsidRPr="00E87CD9" w:rsidRDefault="00E0513C" w:rsidP="00E0513C">
      <w:pPr>
        <w:pStyle w:val="Default"/>
        <w:rPr>
          <w:color w:val="auto"/>
          <w:lang w:val="uk-UA"/>
        </w:rPr>
      </w:pPr>
    </w:p>
    <w:p w:rsidR="00E0513C" w:rsidRPr="00E87CD9" w:rsidRDefault="00E0513C" w:rsidP="00E0513C">
      <w:pPr>
        <w:pStyle w:val="Default"/>
        <w:rPr>
          <w:color w:val="auto"/>
          <w:lang w:val="uk-UA"/>
        </w:rPr>
      </w:pPr>
    </w:p>
    <w:p w:rsidR="00E0513C" w:rsidRPr="00E87CD9" w:rsidRDefault="00E0513C" w:rsidP="00E0513C">
      <w:pPr>
        <w:pStyle w:val="Default"/>
        <w:rPr>
          <w:color w:val="auto"/>
          <w:lang w:val="uk-UA"/>
        </w:rPr>
      </w:pPr>
    </w:p>
    <w:p w:rsidR="00E0513C" w:rsidRPr="00E87CD9" w:rsidRDefault="00E0513C" w:rsidP="00E0513C">
      <w:pPr>
        <w:pStyle w:val="Default"/>
        <w:jc w:val="center"/>
        <w:rPr>
          <w:color w:val="auto"/>
          <w:sz w:val="28"/>
          <w:szCs w:val="28"/>
          <w:lang w:val="uk-UA"/>
        </w:rPr>
      </w:pPr>
      <w:r w:rsidRPr="00E87CD9">
        <w:rPr>
          <w:b/>
          <w:color w:val="auto"/>
          <w:sz w:val="28"/>
          <w:szCs w:val="28"/>
          <w:lang w:val="uk-UA"/>
        </w:rPr>
        <w:t>НОСІВЕЦЬ ДМИТРО СЕРГІЙОВИЧ</w:t>
      </w:r>
    </w:p>
    <w:p w:rsidR="00E0513C" w:rsidRPr="00E87CD9" w:rsidRDefault="00E0513C" w:rsidP="00E0513C">
      <w:pPr>
        <w:pStyle w:val="Default"/>
        <w:rPr>
          <w:rFonts w:eastAsia="Times New Roman" w:cs="Times New Roman"/>
          <w:b/>
          <w:color w:val="auto"/>
          <w:sz w:val="28"/>
          <w:szCs w:val="28"/>
          <w:lang w:val="uk-UA"/>
        </w:rPr>
      </w:pPr>
    </w:p>
    <w:p w:rsidR="00E0513C" w:rsidRPr="00E87CD9" w:rsidRDefault="00E0513C" w:rsidP="00E0513C">
      <w:pPr>
        <w:pStyle w:val="Default"/>
        <w:rPr>
          <w:rFonts w:eastAsia="Times New Roman" w:cs="Times New Roman"/>
          <w:b/>
          <w:color w:val="auto"/>
          <w:sz w:val="32"/>
          <w:lang w:val="uk-UA"/>
        </w:rPr>
      </w:pPr>
    </w:p>
    <w:p w:rsidR="00E0513C" w:rsidRPr="00E87CD9" w:rsidRDefault="00E0513C" w:rsidP="00E0513C">
      <w:pPr>
        <w:pStyle w:val="Default"/>
        <w:jc w:val="right"/>
        <w:rPr>
          <w:color w:val="auto"/>
          <w:sz w:val="28"/>
          <w:szCs w:val="28"/>
          <w:lang w:val="uk-UA"/>
        </w:rPr>
      </w:pPr>
      <w:r w:rsidRPr="00E87CD9">
        <w:rPr>
          <w:color w:val="auto"/>
          <w:sz w:val="28"/>
          <w:szCs w:val="28"/>
          <w:lang w:val="uk-UA"/>
        </w:rPr>
        <w:t>УДК 616.414-008.64:616.72-007.2</w:t>
      </w:r>
      <w:r w:rsidRPr="00E87CD9">
        <w:rPr>
          <w:color w:val="auto"/>
          <w:sz w:val="28"/>
          <w:szCs w:val="28"/>
        </w:rPr>
        <w:t>]</w:t>
      </w:r>
      <w:r w:rsidRPr="00E87CD9">
        <w:rPr>
          <w:color w:val="auto"/>
          <w:sz w:val="28"/>
          <w:szCs w:val="28"/>
          <w:lang w:val="uk-UA"/>
        </w:rPr>
        <w:t>-092.9:615.212:615.276</w:t>
      </w:r>
    </w:p>
    <w:p w:rsidR="00E0513C" w:rsidRPr="00E87CD9" w:rsidRDefault="00E0513C" w:rsidP="00E0513C">
      <w:pPr>
        <w:pStyle w:val="Default"/>
        <w:rPr>
          <w:color w:val="auto"/>
          <w:sz w:val="28"/>
          <w:szCs w:val="28"/>
          <w:lang w:val="uk-UA"/>
        </w:rPr>
      </w:pPr>
    </w:p>
    <w:p w:rsidR="00E0513C" w:rsidRPr="00E87CD9" w:rsidRDefault="00E0513C" w:rsidP="00E0513C">
      <w:pPr>
        <w:pStyle w:val="Default"/>
        <w:rPr>
          <w:color w:val="auto"/>
          <w:sz w:val="28"/>
          <w:szCs w:val="28"/>
          <w:lang w:val="uk-UA"/>
        </w:rPr>
      </w:pPr>
    </w:p>
    <w:p w:rsidR="00E0513C" w:rsidRPr="00E87CD9" w:rsidRDefault="00E0513C" w:rsidP="00E0513C">
      <w:pPr>
        <w:pStyle w:val="Default"/>
        <w:rPr>
          <w:color w:val="auto"/>
          <w:sz w:val="28"/>
          <w:szCs w:val="28"/>
          <w:lang w:val="uk-UA"/>
        </w:rPr>
      </w:pPr>
    </w:p>
    <w:p w:rsidR="00E0513C" w:rsidRPr="00E87CD9" w:rsidRDefault="00E0513C" w:rsidP="00E0513C">
      <w:pPr>
        <w:pStyle w:val="western"/>
        <w:spacing w:before="0" w:after="0" w:line="240" w:lineRule="auto"/>
        <w:jc w:val="center"/>
        <w:rPr>
          <w:rFonts w:ascii="Times New Roman" w:hAnsi="Times New Roman" w:cs="Times New Roman"/>
          <w:b/>
          <w:caps/>
          <w:color w:val="auto"/>
          <w:sz w:val="28"/>
          <w:szCs w:val="28"/>
        </w:rPr>
      </w:pPr>
    </w:p>
    <w:p w:rsidR="00E0513C" w:rsidRPr="00E87CD9" w:rsidRDefault="00E0513C" w:rsidP="00E0513C">
      <w:pPr>
        <w:pStyle w:val="western"/>
        <w:spacing w:before="0" w:after="0" w:line="360" w:lineRule="auto"/>
        <w:jc w:val="center"/>
        <w:rPr>
          <w:rFonts w:ascii="Times New Roman" w:hAnsi="Times New Roman" w:cs="Times New Roman"/>
          <w:b/>
          <w:caps/>
          <w:color w:val="auto"/>
          <w:sz w:val="28"/>
          <w:szCs w:val="28"/>
        </w:rPr>
      </w:pPr>
      <w:r w:rsidRPr="00E87CD9">
        <w:rPr>
          <w:rFonts w:ascii="Times New Roman" w:hAnsi="Times New Roman" w:cs="Times New Roman"/>
          <w:b/>
          <w:caps/>
          <w:color w:val="auto"/>
          <w:sz w:val="28"/>
          <w:szCs w:val="28"/>
        </w:rPr>
        <w:t>Фармакологічний аналіз знеболення та</w:t>
      </w:r>
    </w:p>
    <w:p w:rsidR="00E0513C" w:rsidRPr="00E87CD9" w:rsidRDefault="00E0513C" w:rsidP="00E0513C">
      <w:pPr>
        <w:pStyle w:val="western"/>
        <w:spacing w:before="0" w:after="0" w:line="360" w:lineRule="auto"/>
        <w:jc w:val="center"/>
        <w:rPr>
          <w:rFonts w:ascii="Times New Roman" w:hAnsi="Times New Roman" w:cs="Times New Roman"/>
          <w:b/>
          <w:caps/>
          <w:color w:val="auto"/>
          <w:sz w:val="28"/>
          <w:szCs w:val="28"/>
        </w:rPr>
      </w:pPr>
      <w:r w:rsidRPr="00E87CD9">
        <w:rPr>
          <w:rFonts w:ascii="Times New Roman" w:hAnsi="Times New Roman" w:cs="Times New Roman"/>
          <w:b/>
          <w:caps/>
          <w:color w:val="auto"/>
          <w:sz w:val="28"/>
          <w:szCs w:val="28"/>
        </w:rPr>
        <w:t>хондропротекції за умов експериментальнОГО</w:t>
      </w:r>
    </w:p>
    <w:p w:rsidR="00E0513C" w:rsidRPr="00E87CD9" w:rsidRDefault="00E0513C" w:rsidP="00E0513C">
      <w:pPr>
        <w:pStyle w:val="western"/>
        <w:spacing w:before="0" w:after="0" w:line="360" w:lineRule="auto"/>
        <w:jc w:val="center"/>
        <w:rPr>
          <w:color w:val="auto"/>
          <w:sz w:val="28"/>
          <w:szCs w:val="28"/>
        </w:rPr>
      </w:pPr>
      <w:r w:rsidRPr="00E87CD9">
        <w:rPr>
          <w:rFonts w:ascii="Times New Roman" w:hAnsi="Times New Roman" w:cs="Times New Roman"/>
          <w:b/>
          <w:caps/>
          <w:color w:val="auto"/>
          <w:sz w:val="28"/>
          <w:szCs w:val="28"/>
        </w:rPr>
        <w:t>остеоартрозу НА ТЛІ гіпотиреозу</w:t>
      </w:r>
    </w:p>
    <w:p w:rsidR="00E0513C" w:rsidRPr="00E87CD9" w:rsidRDefault="00E0513C" w:rsidP="00E0513C">
      <w:pPr>
        <w:pStyle w:val="Default"/>
        <w:spacing w:line="360" w:lineRule="auto"/>
        <w:rPr>
          <w:color w:val="auto"/>
          <w:sz w:val="28"/>
          <w:szCs w:val="28"/>
          <w:lang w:val="uk-UA"/>
        </w:rPr>
      </w:pPr>
    </w:p>
    <w:p w:rsidR="00E0513C" w:rsidRPr="00E87CD9" w:rsidRDefault="00E0513C" w:rsidP="00E0513C">
      <w:pPr>
        <w:pStyle w:val="Default"/>
        <w:rPr>
          <w:color w:val="auto"/>
          <w:lang w:val="uk-UA"/>
        </w:rPr>
      </w:pPr>
    </w:p>
    <w:p w:rsidR="00E0513C" w:rsidRPr="00E87CD9" w:rsidRDefault="00E0513C" w:rsidP="00E0513C">
      <w:pPr>
        <w:pStyle w:val="Default"/>
        <w:rPr>
          <w:color w:val="auto"/>
          <w:lang w:val="uk-UA"/>
        </w:rPr>
      </w:pPr>
    </w:p>
    <w:p w:rsidR="00E0513C" w:rsidRPr="00E87CD9" w:rsidRDefault="00E0513C" w:rsidP="00E0513C">
      <w:pPr>
        <w:pStyle w:val="Default"/>
        <w:rPr>
          <w:color w:val="auto"/>
          <w:lang w:val="uk-UA"/>
        </w:rPr>
      </w:pPr>
    </w:p>
    <w:p w:rsidR="00E0513C" w:rsidRPr="00E87CD9" w:rsidRDefault="00E0513C" w:rsidP="00E0513C">
      <w:pPr>
        <w:pStyle w:val="Default"/>
        <w:rPr>
          <w:rFonts w:eastAsia="Times New Roman" w:cs="Times New Roman"/>
          <w:b/>
          <w:color w:val="auto"/>
          <w:sz w:val="32"/>
          <w:lang w:val="uk-UA"/>
        </w:rPr>
      </w:pPr>
    </w:p>
    <w:p w:rsidR="00E0513C" w:rsidRPr="00E87CD9" w:rsidRDefault="00E0513C" w:rsidP="00E0513C">
      <w:pPr>
        <w:pStyle w:val="Default"/>
        <w:jc w:val="center"/>
        <w:rPr>
          <w:color w:val="auto"/>
          <w:sz w:val="28"/>
          <w:lang w:val="uk-UA"/>
        </w:rPr>
      </w:pPr>
      <w:r w:rsidRPr="00E87CD9">
        <w:rPr>
          <w:color w:val="auto"/>
          <w:sz w:val="28"/>
          <w:lang w:val="uk-UA"/>
        </w:rPr>
        <w:t>14.03.05 – фармакологія</w:t>
      </w: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b/>
          <w:color w:val="auto"/>
          <w:sz w:val="28"/>
          <w:lang w:val="uk-UA"/>
        </w:rPr>
      </w:pPr>
      <w:r w:rsidRPr="00E87CD9">
        <w:rPr>
          <w:b/>
          <w:color w:val="auto"/>
          <w:sz w:val="28"/>
          <w:lang w:val="uk-UA"/>
        </w:rPr>
        <w:t xml:space="preserve">Автореферат </w:t>
      </w:r>
    </w:p>
    <w:p w:rsidR="00E0513C" w:rsidRPr="00E87CD9" w:rsidRDefault="00E0513C" w:rsidP="00E0513C">
      <w:pPr>
        <w:pStyle w:val="Default"/>
        <w:jc w:val="center"/>
        <w:rPr>
          <w:color w:val="auto"/>
          <w:sz w:val="28"/>
          <w:lang w:val="uk-UA"/>
        </w:rPr>
      </w:pPr>
      <w:r w:rsidRPr="00E87CD9">
        <w:rPr>
          <w:color w:val="auto"/>
          <w:sz w:val="28"/>
          <w:lang w:val="uk-UA"/>
        </w:rPr>
        <w:t>дисертації на здобуття наукового ступеня</w:t>
      </w:r>
    </w:p>
    <w:p w:rsidR="00E0513C" w:rsidRPr="00E87CD9" w:rsidRDefault="00E0513C" w:rsidP="00E0513C">
      <w:pPr>
        <w:pStyle w:val="Default"/>
        <w:jc w:val="center"/>
        <w:rPr>
          <w:color w:val="auto"/>
          <w:sz w:val="28"/>
          <w:lang w:val="uk-UA"/>
        </w:rPr>
      </w:pPr>
      <w:r w:rsidRPr="00E87CD9">
        <w:rPr>
          <w:color w:val="auto"/>
          <w:sz w:val="28"/>
          <w:lang w:val="uk-UA"/>
        </w:rPr>
        <w:t>доктора медичних наук</w:t>
      </w:r>
    </w:p>
    <w:p w:rsidR="00E0513C" w:rsidRPr="00E87CD9" w:rsidRDefault="00E0513C" w:rsidP="00E0513C">
      <w:pPr>
        <w:pStyle w:val="Default"/>
        <w:jc w:val="center"/>
        <w:rPr>
          <w:rFonts w:eastAsia="Times New Roman" w:cs="Times New Roman"/>
          <w:color w:val="auto"/>
          <w:sz w:val="28"/>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pStyle w:val="Default"/>
        <w:jc w:val="center"/>
        <w:rPr>
          <w:color w:val="auto"/>
          <w:lang w:val="uk-UA"/>
        </w:rPr>
      </w:pPr>
    </w:p>
    <w:p w:rsidR="00E0513C" w:rsidRPr="00E87CD9" w:rsidRDefault="00E0513C" w:rsidP="00E0513C">
      <w:pPr>
        <w:spacing w:before="67" w:line="360" w:lineRule="auto"/>
        <w:ind w:left="797" w:right="950"/>
        <w:jc w:val="center"/>
        <w:rPr>
          <w:color w:val="auto"/>
        </w:rPr>
      </w:pPr>
      <w:r w:rsidRPr="00E87CD9">
        <w:rPr>
          <w:color w:val="auto"/>
          <w:sz w:val="28"/>
        </w:rPr>
        <w:t>Київ – 2021</w:t>
      </w:r>
    </w:p>
    <w:p w:rsidR="00E0513C" w:rsidRPr="00E87CD9" w:rsidRDefault="00E0513C" w:rsidP="00E0513C">
      <w:pPr>
        <w:spacing w:line="360" w:lineRule="auto"/>
        <w:rPr>
          <w:color w:val="auto"/>
        </w:rPr>
        <w:sectPr w:rsidR="00E0513C" w:rsidRPr="00E87CD9">
          <w:pgSz w:w="11906" w:h="16838"/>
          <w:pgMar w:top="1040" w:right="850" w:bottom="280" w:left="1020" w:header="0" w:footer="0" w:gutter="0"/>
          <w:cols w:space="720"/>
          <w:formProt w:val="0"/>
        </w:sectPr>
      </w:pPr>
    </w:p>
    <w:p w:rsidR="00E0513C" w:rsidRPr="00E87CD9" w:rsidRDefault="00E0513C" w:rsidP="00CC0311">
      <w:pPr>
        <w:pStyle w:val="a8"/>
        <w:ind w:left="0"/>
        <w:jc w:val="left"/>
        <w:rPr>
          <w:color w:val="auto"/>
        </w:rPr>
      </w:pPr>
      <w:r w:rsidRPr="00E87CD9">
        <w:rPr>
          <w:color w:val="auto"/>
        </w:rPr>
        <w:lastRenderedPageBreak/>
        <w:t>Дисертацією є рукопис</w:t>
      </w:r>
    </w:p>
    <w:p w:rsidR="00CC0311" w:rsidRPr="00E87CD9" w:rsidRDefault="00701613" w:rsidP="00CC0311">
      <w:pPr>
        <w:jc w:val="both"/>
        <w:rPr>
          <w:color w:val="auto"/>
          <w:sz w:val="28"/>
          <w:szCs w:val="28"/>
        </w:rPr>
      </w:pPr>
      <w:r w:rsidRPr="00701613">
        <w:rPr>
          <w:color w:val="auto"/>
          <w:sz w:val="28"/>
          <w:szCs w:val="28"/>
        </w:rPr>
        <w:pict>
          <v:rect id="_x0000_s1026" style="position:absolute;left:0;text-align:left;margin-left:237.75pt;margin-top:-41.35pt;width:21pt;height:18pt;z-index:251661312" stroked="f"/>
        </w:pict>
      </w:r>
      <w:r w:rsidR="00FE7E35" w:rsidRPr="00E87CD9">
        <w:rPr>
          <w:color w:val="auto"/>
          <w:sz w:val="28"/>
          <w:szCs w:val="28"/>
        </w:rPr>
        <w:t>Робота виконана на кафедрі фармакології і клінічної фармакології Державного закладу «Дніпропетровська медична академія Міністерства охорони здоров’я України»</w:t>
      </w:r>
    </w:p>
    <w:p w:rsidR="00D54416" w:rsidRPr="00E87CD9" w:rsidRDefault="00D54416" w:rsidP="00D54416">
      <w:pPr>
        <w:jc w:val="both"/>
        <w:rPr>
          <w:b/>
          <w:color w:val="auto"/>
          <w:sz w:val="28"/>
        </w:rPr>
      </w:pPr>
    </w:p>
    <w:p w:rsidR="00E0513C" w:rsidRPr="00E87CD9" w:rsidRDefault="00E0513C" w:rsidP="00D54416">
      <w:pPr>
        <w:jc w:val="both"/>
        <w:rPr>
          <w:color w:val="auto"/>
          <w:sz w:val="28"/>
          <w:lang w:val="ru-RU"/>
        </w:rPr>
      </w:pPr>
      <w:r w:rsidRPr="00E87CD9">
        <w:rPr>
          <w:b/>
          <w:color w:val="auto"/>
          <w:sz w:val="28"/>
        </w:rPr>
        <w:t xml:space="preserve">Науковий консультант: </w:t>
      </w:r>
      <w:r w:rsidRPr="00E87CD9">
        <w:rPr>
          <w:color w:val="auto"/>
          <w:sz w:val="28"/>
        </w:rPr>
        <w:t>доктор медичних наук, професор</w:t>
      </w:r>
    </w:p>
    <w:p w:rsidR="00FE7E35" w:rsidRPr="00E87CD9" w:rsidRDefault="00E0513C" w:rsidP="00D54416">
      <w:pPr>
        <w:ind w:left="3119"/>
        <w:jc w:val="both"/>
        <w:rPr>
          <w:color w:val="auto"/>
          <w:sz w:val="28"/>
        </w:rPr>
      </w:pPr>
      <w:r w:rsidRPr="00E87CD9">
        <w:rPr>
          <w:b/>
          <w:color w:val="auto"/>
          <w:sz w:val="28"/>
        </w:rPr>
        <w:t>МАМЧУР Віталій Йосипович</w:t>
      </w:r>
      <w:r w:rsidRPr="00E87CD9">
        <w:rPr>
          <w:color w:val="auto"/>
          <w:sz w:val="28"/>
        </w:rPr>
        <w:t>,</w:t>
      </w:r>
    </w:p>
    <w:p w:rsidR="00E0513C" w:rsidRPr="00E87CD9" w:rsidRDefault="00FE7E35" w:rsidP="00D54416">
      <w:pPr>
        <w:ind w:left="3119"/>
        <w:jc w:val="both"/>
        <w:rPr>
          <w:color w:val="auto"/>
        </w:rPr>
      </w:pPr>
      <w:r w:rsidRPr="00E87CD9">
        <w:rPr>
          <w:color w:val="auto"/>
          <w:sz w:val="28"/>
        </w:rPr>
        <w:t>ДЗ «Дніпропетровська медична академія МОЗ України»,</w:t>
      </w:r>
      <w:r w:rsidR="00E0513C" w:rsidRPr="00E87CD9">
        <w:rPr>
          <w:color w:val="auto"/>
          <w:sz w:val="28"/>
        </w:rPr>
        <w:t xml:space="preserve"> м.Дніпро, професор кафедри фармакології і клінічної фармакології</w:t>
      </w:r>
    </w:p>
    <w:p w:rsidR="00E0513C" w:rsidRPr="00E87CD9" w:rsidRDefault="00E0513C" w:rsidP="00D54416">
      <w:pPr>
        <w:pStyle w:val="1"/>
        <w:ind w:left="0"/>
        <w:jc w:val="left"/>
        <w:rPr>
          <w:color w:val="auto"/>
        </w:rPr>
      </w:pPr>
      <w:r w:rsidRPr="00E87CD9">
        <w:rPr>
          <w:color w:val="auto"/>
        </w:rPr>
        <w:t>Офіційні опоненти:</w:t>
      </w:r>
    </w:p>
    <w:p w:rsidR="00E0513C" w:rsidRPr="00E87CD9" w:rsidRDefault="00E0513C" w:rsidP="00D54416">
      <w:pPr>
        <w:ind w:left="3119"/>
        <w:jc w:val="both"/>
        <w:rPr>
          <w:color w:val="auto"/>
          <w:sz w:val="28"/>
          <w:szCs w:val="28"/>
          <w:shd w:val="clear" w:color="auto" w:fill="FFFFFF"/>
        </w:rPr>
      </w:pPr>
      <w:r w:rsidRPr="00E87CD9">
        <w:rPr>
          <w:color w:val="auto"/>
          <w:sz w:val="28"/>
          <w:szCs w:val="28"/>
          <w:shd w:val="clear" w:color="auto" w:fill="FFFFFF"/>
        </w:rPr>
        <w:t>доктор біологічних наук</w:t>
      </w:r>
    </w:p>
    <w:p w:rsidR="00E0513C" w:rsidRPr="00E87CD9" w:rsidRDefault="00E0513C" w:rsidP="00D54416">
      <w:pPr>
        <w:ind w:left="3119"/>
        <w:jc w:val="both"/>
        <w:rPr>
          <w:color w:val="auto"/>
          <w:sz w:val="28"/>
          <w:szCs w:val="28"/>
          <w:shd w:val="clear" w:color="auto" w:fill="FFFFFF"/>
        </w:rPr>
      </w:pPr>
      <w:r w:rsidRPr="00E87CD9">
        <w:rPr>
          <w:b/>
          <w:color w:val="auto"/>
          <w:sz w:val="28"/>
          <w:szCs w:val="28"/>
        </w:rPr>
        <w:t>ЯДЛОВСЬКИЙ Олег Євгенович,</w:t>
      </w:r>
      <w:r w:rsidRPr="00E87CD9">
        <w:rPr>
          <w:color w:val="auto"/>
          <w:sz w:val="28"/>
          <w:szCs w:val="28"/>
          <w:shd w:val="clear" w:color="auto" w:fill="FFFFFF"/>
        </w:rPr>
        <w:t>ДУ «Інститут фармакології та токсикології НАМН України», м.Київ, головний науковий співробітник відділу медичної хімії;</w:t>
      </w:r>
    </w:p>
    <w:p w:rsidR="00E0513C" w:rsidRPr="00E87CD9" w:rsidRDefault="00E0513C" w:rsidP="00D54416">
      <w:pPr>
        <w:ind w:hanging="3061"/>
        <w:jc w:val="both"/>
        <w:rPr>
          <w:color w:val="auto"/>
          <w:sz w:val="28"/>
          <w:szCs w:val="28"/>
        </w:rPr>
      </w:pPr>
    </w:p>
    <w:p w:rsidR="00E0513C" w:rsidRPr="00E87CD9" w:rsidRDefault="00E0513C" w:rsidP="00D54416">
      <w:pPr>
        <w:ind w:left="3119"/>
        <w:jc w:val="both"/>
        <w:rPr>
          <w:color w:val="auto"/>
          <w:sz w:val="28"/>
          <w:szCs w:val="28"/>
          <w:lang w:val="ru-RU"/>
        </w:rPr>
      </w:pPr>
      <w:r w:rsidRPr="00E87CD9">
        <w:rPr>
          <w:color w:val="auto"/>
          <w:sz w:val="28"/>
          <w:szCs w:val="28"/>
        </w:rPr>
        <w:t>доктор медичних наук, професор</w:t>
      </w:r>
    </w:p>
    <w:p w:rsidR="00E0513C" w:rsidRPr="00E87CD9" w:rsidRDefault="00E0513C" w:rsidP="00D54416">
      <w:pPr>
        <w:ind w:left="3119"/>
        <w:jc w:val="both"/>
        <w:rPr>
          <w:color w:val="auto"/>
          <w:sz w:val="28"/>
          <w:szCs w:val="28"/>
        </w:rPr>
      </w:pPr>
      <w:r w:rsidRPr="00E87CD9">
        <w:rPr>
          <w:b/>
          <w:color w:val="auto"/>
          <w:sz w:val="28"/>
          <w:szCs w:val="28"/>
        </w:rPr>
        <w:t>ВОЛОЩУК Наталія Іванівна</w:t>
      </w:r>
      <w:r w:rsidRPr="00E87CD9">
        <w:rPr>
          <w:color w:val="auto"/>
          <w:sz w:val="28"/>
          <w:szCs w:val="28"/>
        </w:rPr>
        <w:t>,Вінницький національний медичний університет ім. М.І. Пирогова, м. Вінниця, завідувач кафедри фармакології;</w:t>
      </w:r>
    </w:p>
    <w:p w:rsidR="00E0513C" w:rsidRPr="00E87CD9" w:rsidRDefault="00E0513C" w:rsidP="00D54416">
      <w:pPr>
        <w:ind w:left="3119" w:hanging="3061"/>
        <w:jc w:val="both"/>
        <w:rPr>
          <w:color w:val="auto"/>
          <w:sz w:val="28"/>
          <w:szCs w:val="28"/>
        </w:rPr>
      </w:pPr>
    </w:p>
    <w:p w:rsidR="00E0513C" w:rsidRPr="00E87CD9" w:rsidRDefault="00E0513C" w:rsidP="00D54416">
      <w:pPr>
        <w:ind w:left="3119" w:hanging="2"/>
        <w:jc w:val="both"/>
        <w:rPr>
          <w:b/>
          <w:color w:val="auto"/>
          <w:sz w:val="28"/>
          <w:szCs w:val="28"/>
        </w:rPr>
      </w:pPr>
      <w:r w:rsidRPr="00E87CD9">
        <w:rPr>
          <w:color w:val="auto"/>
          <w:sz w:val="28"/>
          <w:szCs w:val="28"/>
        </w:rPr>
        <w:t xml:space="preserve">доктор медичних наук, професор, </w:t>
      </w:r>
      <w:r w:rsidRPr="00E87CD9">
        <w:rPr>
          <w:color w:val="auto"/>
          <w:sz w:val="28"/>
          <w:szCs w:val="28"/>
          <w:shd w:val="clear" w:color="auto" w:fill="FFFFFF"/>
        </w:rPr>
        <w:t>Заслужений діяч науки і техніки України</w:t>
      </w:r>
    </w:p>
    <w:p w:rsidR="00E0513C" w:rsidRPr="00E87CD9" w:rsidRDefault="00E0513C" w:rsidP="00D54416">
      <w:pPr>
        <w:ind w:left="3119" w:hanging="2"/>
        <w:jc w:val="both"/>
        <w:rPr>
          <w:color w:val="auto"/>
          <w:sz w:val="28"/>
          <w:szCs w:val="28"/>
        </w:rPr>
      </w:pPr>
      <w:r w:rsidRPr="00E87CD9">
        <w:rPr>
          <w:b/>
          <w:color w:val="auto"/>
          <w:sz w:val="28"/>
          <w:szCs w:val="28"/>
        </w:rPr>
        <w:t>ПОВОРОЗНЮК Владислав Володимирович</w:t>
      </w:r>
      <w:r w:rsidRPr="00E87CD9">
        <w:rPr>
          <w:color w:val="auto"/>
          <w:sz w:val="28"/>
          <w:szCs w:val="28"/>
        </w:rPr>
        <w:t>,</w:t>
      </w:r>
    </w:p>
    <w:p w:rsidR="00E0513C" w:rsidRPr="00E87CD9" w:rsidRDefault="00E0513C" w:rsidP="00D54416">
      <w:pPr>
        <w:ind w:left="3119" w:hanging="2"/>
        <w:jc w:val="both"/>
        <w:rPr>
          <w:color w:val="auto"/>
          <w:sz w:val="28"/>
          <w:szCs w:val="28"/>
        </w:rPr>
      </w:pPr>
      <w:r w:rsidRPr="00E87CD9">
        <w:rPr>
          <w:color w:val="auto"/>
          <w:sz w:val="28"/>
          <w:szCs w:val="28"/>
          <w:shd w:val="clear" w:color="auto" w:fill="FFFFFF"/>
        </w:rPr>
        <w:t>ДУ «Інститут геронтології імені Д.Ф. Чеботарьова НАМН України», м. Київ, керівник відділу клінічної фізіології і патології опорно-рухового апарату.</w:t>
      </w:r>
    </w:p>
    <w:p w:rsidR="00E0513C" w:rsidRPr="00E87CD9" w:rsidRDefault="00E0513C" w:rsidP="00D54416">
      <w:pPr>
        <w:pStyle w:val="a8"/>
        <w:ind w:left="0"/>
        <w:jc w:val="left"/>
        <w:rPr>
          <w:color w:val="auto"/>
          <w:sz w:val="32"/>
        </w:rPr>
      </w:pPr>
    </w:p>
    <w:p w:rsidR="00E0513C" w:rsidRPr="00E87CD9" w:rsidRDefault="00E0513C" w:rsidP="00D54416">
      <w:pPr>
        <w:pStyle w:val="a8"/>
        <w:ind w:left="0"/>
        <w:rPr>
          <w:color w:val="auto"/>
        </w:rPr>
      </w:pPr>
      <w:r w:rsidRPr="00E87CD9">
        <w:rPr>
          <w:color w:val="auto"/>
        </w:rPr>
        <w:t xml:space="preserve">Захист відбудеться «12»   </w:t>
      </w:r>
      <w:r w:rsidRPr="00E87CD9">
        <w:rPr>
          <w:color w:val="auto"/>
          <w:u w:val="single"/>
        </w:rPr>
        <w:t>травня</w:t>
      </w:r>
      <w:r w:rsidRPr="00E87CD9">
        <w:rPr>
          <w:color w:val="auto"/>
        </w:rPr>
        <w:t xml:space="preserve">   2021 року об 11.00 годині на засіданні спеціалізованої вченої ради Д 26.550.01 при ДУ «Інститут фармакології та токсикології НАМН України», за адресою: 03057, м. Київ, вул. Антона Цедіка, 14.</w:t>
      </w:r>
    </w:p>
    <w:p w:rsidR="00E0513C" w:rsidRPr="00E87CD9" w:rsidRDefault="00E0513C" w:rsidP="00D54416">
      <w:pPr>
        <w:pStyle w:val="a8"/>
        <w:ind w:left="0"/>
        <w:jc w:val="left"/>
        <w:rPr>
          <w:color w:val="auto"/>
        </w:rPr>
      </w:pPr>
    </w:p>
    <w:p w:rsidR="00E0513C" w:rsidRPr="00E87CD9" w:rsidRDefault="00E0513C" w:rsidP="00D54416">
      <w:pPr>
        <w:pStyle w:val="a8"/>
        <w:ind w:left="0"/>
        <w:rPr>
          <w:color w:val="auto"/>
        </w:rPr>
      </w:pPr>
      <w:r w:rsidRPr="00E87CD9">
        <w:rPr>
          <w:color w:val="auto"/>
        </w:rPr>
        <w:t>З дисертацією можна ознайомитися в бібліотеці ДУ «Інститут фармакології та токсикології НАМН України», за адресою: 03057, м. Київ, вул. Антона Цедіка, 14.</w:t>
      </w:r>
    </w:p>
    <w:p w:rsidR="00D54416" w:rsidRPr="00E87CD9" w:rsidRDefault="00D54416" w:rsidP="00D54416">
      <w:pPr>
        <w:pStyle w:val="a8"/>
        <w:tabs>
          <w:tab w:val="left" w:pos="3814"/>
          <w:tab w:val="left" w:pos="6329"/>
        </w:tabs>
        <w:ind w:left="0"/>
        <w:jc w:val="left"/>
        <w:rPr>
          <w:color w:val="auto"/>
        </w:rPr>
      </w:pPr>
    </w:p>
    <w:p w:rsidR="00E0513C" w:rsidRPr="00E87CD9" w:rsidRDefault="00E0513C" w:rsidP="00D54416">
      <w:pPr>
        <w:pStyle w:val="a8"/>
        <w:tabs>
          <w:tab w:val="left" w:pos="3814"/>
          <w:tab w:val="left" w:pos="6329"/>
        </w:tabs>
        <w:ind w:left="0"/>
        <w:jc w:val="left"/>
        <w:rPr>
          <w:color w:val="auto"/>
        </w:rPr>
      </w:pPr>
      <w:r w:rsidRPr="00E87CD9">
        <w:rPr>
          <w:color w:val="auto"/>
        </w:rPr>
        <w:t>Автореферат</w:t>
      </w:r>
      <w:r w:rsidR="00DB00B8">
        <w:rPr>
          <w:color w:val="auto"/>
          <w:lang w:val="ru-RU"/>
        </w:rPr>
        <w:t xml:space="preserve"> </w:t>
      </w:r>
      <w:r w:rsidRPr="00E87CD9">
        <w:rPr>
          <w:color w:val="auto"/>
        </w:rPr>
        <w:t>розісланий«09»   квітня   2021 р.</w:t>
      </w:r>
    </w:p>
    <w:p w:rsidR="00D54416" w:rsidRPr="00E87CD9" w:rsidRDefault="00D54416" w:rsidP="00D54416">
      <w:pPr>
        <w:pStyle w:val="a8"/>
        <w:ind w:left="0"/>
        <w:jc w:val="left"/>
        <w:rPr>
          <w:color w:val="auto"/>
        </w:rPr>
      </w:pPr>
    </w:p>
    <w:p w:rsidR="00E0513C" w:rsidRPr="00E87CD9" w:rsidRDefault="00E0513C" w:rsidP="00D54416">
      <w:pPr>
        <w:pStyle w:val="a8"/>
        <w:ind w:left="0"/>
        <w:jc w:val="left"/>
        <w:rPr>
          <w:color w:val="auto"/>
        </w:rPr>
      </w:pPr>
      <w:r w:rsidRPr="00E87CD9">
        <w:rPr>
          <w:noProof/>
          <w:color w:val="auto"/>
          <w:lang w:val="ru-RU" w:eastAsia="ru-RU"/>
        </w:rPr>
        <w:drawing>
          <wp:anchor distT="0" distB="0" distL="0" distR="0" simplePos="0" relativeHeight="251658240" behindDoc="1" locked="0" layoutInCell="1" allowOverlap="1">
            <wp:simplePos x="0" y="0"/>
            <wp:positionH relativeFrom="page">
              <wp:posOffset>3996267</wp:posOffset>
            </wp:positionH>
            <wp:positionV relativeFrom="paragraph">
              <wp:posOffset>187536</wp:posOffset>
            </wp:positionV>
            <wp:extent cx="866775" cy="721360"/>
            <wp:effectExtent l="0" t="0" r="9525" b="2540"/>
            <wp:wrapNone/>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Изображение"/>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66775" cy="721360"/>
                    </a:xfrm>
                    <a:prstGeom prst="rect">
                      <a:avLst/>
                    </a:prstGeom>
                    <a:noFill/>
                  </pic:spPr>
                </pic:pic>
              </a:graphicData>
            </a:graphic>
          </wp:anchor>
        </w:drawing>
      </w:r>
      <w:r w:rsidRPr="00E87CD9">
        <w:rPr>
          <w:color w:val="auto"/>
        </w:rPr>
        <w:t>Вчений секретар</w:t>
      </w:r>
    </w:p>
    <w:p w:rsidR="00E0513C" w:rsidRPr="00E87CD9" w:rsidRDefault="00E0513C" w:rsidP="00D54416">
      <w:pPr>
        <w:pStyle w:val="a8"/>
        <w:ind w:left="0"/>
        <w:jc w:val="left"/>
        <w:rPr>
          <w:color w:val="auto"/>
        </w:rPr>
      </w:pPr>
      <w:r w:rsidRPr="00E87CD9">
        <w:rPr>
          <w:color w:val="auto"/>
        </w:rPr>
        <w:t>спеціалізованої вченої ради Д 26.550.01</w:t>
      </w:r>
    </w:p>
    <w:p w:rsidR="00E0513C" w:rsidRPr="00E87CD9" w:rsidRDefault="00E0513C" w:rsidP="00D54416">
      <w:pPr>
        <w:pStyle w:val="a8"/>
        <w:tabs>
          <w:tab w:val="left" w:pos="7938"/>
        </w:tabs>
        <w:ind w:hanging="112"/>
        <w:jc w:val="left"/>
        <w:rPr>
          <w:color w:val="auto"/>
        </w:rPr>
      </w:pPr>
      <w:r w:rsidRPr="00E87CD9">
        <w:rPr>
          <w:color w:val="auto"/>
        </w:rPr>
        <w:t>кандидат</w:t>
      </w:r>
      <w:r w:rsidR="00DB00B8">
        <w:rPr>
          <w:color w:val="auto"/>
          <w:lang w:val="ru-RU"/>
        </w:rPr>
        <w:t xml:space="preserve"> </w:t>
      </w:r>
      <w:r w:rsidRPr="00E87CD9">
        <w:rPr>
          <w:color w:val="auto"/>
        </w:rPr>
        <w:t>біологічних</w:t>
      </w:r>
      <w:r w:rsidR="00DB00B8">
        <w:rPr>
          <w:color w:val="auto"/>
          <w:lang w:val="ru-RU"/>
        </w:rPr>
        <w:t xml:space="preserve"> </w:t>
      </w:r>
      <w:r w:rsidRPr="00E87CD9">
        <w:rPr>
          <w:color w:val="auto"/>
        </w:rPr>
        <w:t>наук</w:t>
      </w:r>
      <w:r w:rsidRPr="00E87CD9">
        <w:rPr>
          <w:color w:val="auto"/>
        </w:rPr>
        <w:tab/>
        <w:t>І.В.Данова</w:t>
      </w:r>
    </w:p>
    <w:p w:rsidR="00E0513C" w:rsidRPr="00E87CD9" w:rsidRDefault="00E0513C" w:rsidP="00CC0311">
      <w:pPr>
        <w:rPr>
          <w:color w:val="auto"/>
          <w:sz w:val="28"/>
          <w:szCs w:val="28"/>
        </w:rPr>
        <w:sectPr w:rsidR="00E0513C" w:rsidRPr="00E87CD9" w:rsidSect="00D54416">
          <w:pgSz w:w="11906" w:h="16838"/>
          <w:pgMar w:top="1134" w:right="1134" w:bottom="1134" w:left="1134" w:header="0" w:footer="0" w:gutter="0"/>
          <w:cols w:space="720"/>
          <w:formProt w:val="0"/>
        </w:sectPr>
      </w:pPr>
    </w:p>
    <w:p w:rsidR="00D54416" w:rsidRPr="00E87CD9" w:rsidRDefault="00D54416" w:rsidP="00D54416">
      <w:pPr>
        <w:pStyle w:val="1"/>
        <w:ind w:left="0" w:hanging="142"/>
        <w:rPr>
          <w:color w:val="auto"/>
        </w:rPr>
        <w:sectPr w:rsidR="00D54416" w:rsidRPr="00E87CD9" w:rsidSect="00D54416">
          <w:headerReference w:type="default" r:id="rId9"/>
          <w:pgSz w:w="11906" w:h="16838"/>
          <w:pgMar w:top="850" w:right="850" w:bottom="850" w:left="1417" w:header="708" w:footer="708" w:gutter="0"/>
          <w:pgNumType w:start="1"/>
          <w:cols w:space="708"/>
          <w:docGrid w:linePitch="360"/>
        </w:sectPr>
      </w:pPr>
    </w:p>
    <w:p w:rsidR="00417DC7" w:rsidRPr="00E87CD9" w:rsidRDefault="00417DC7" w:rsidP="00D54416">
      <w:pPr>
        <w:pStyle w:val="1"/>
        <w:ind w:left="0" w:hanging="142"/>
        <w:rPr>
          <w:color w:val="auto"/>
        </w:rPr>
      </w:pPr>
      <w:r w:rsidRPr="00E87CD9">
        <w:rPr>
          <w:color w:val="auto"/>
        </w:rPr>
        <w:lastRenderedPageBreak/>
        <w:t>ЗАГАЛЬНА ХАРАКТЕРИСТИКА РОБОТИ</w:t>
      </w:r>
    </w:p>
    <w:p w:rsidR="00417DC7" w:rsidRPr="00E87CD9" w:rsidRDefault="00417DC7" w:rsidP="00417DC7">
      <w:pPr>
        <w:ind w:firstLine="567"/>
        <w:jc w:val="both"/>
        <w:rPr>
          <w:color w:val="auto"/>
          <w:sz w:val="28"/>
          <w:szCs w:val="28"/>
        </w:rPr>
      </w:pPr>
      <w:r w:rsidRPr="00E87CD9">
        <w:rPr>
          <w:b/>
          <w:color w:val="auto"/>
          <w:sz w:val="28"/>
          <w:szCs w:val="28"/>
        </w:rPr>
        <w:t xml:space="preserve">Актуальність теми. </w:t>
      </w:r>
      <w:r w:rsidRPr="00E87CD9">
        <w:rPr>
          <w:color w:val="auto"/>
          <w:sz w:val="28"/>
          <w:szCs w:val="28"/>
        </w:rPr>
        <w:t xml:space="preserve">Біль є одним з основних проявів численних захворювань та причиною страждань людини, що спонукає до застосування аналгетичних засобів. Больові відчуття реєструються як у пацієнтів з одним захворюванням, так і в осіб з коморбідною патологією. Біль є фактором, що обтяжує перебіг коморбідної і, особливо, хронічної патології, що зумовлює необхідність тривалого та безперервного застосування аналгетиків і тим самим підвищує ризики ускладнень та побічних реакцій фармакотерапії (S. B. McMahon </w:t>
      </w:r>
      <w:r w:rsidRPr="00E87CD9">
        <w:rPr>
          <w:rFonts w:eastAsiaTheme="minorHAnsi"/>
          <w:color w:val="auto"/>
          <w:sz w:val="28"/>
          <w:szCs w:val="28"/>
        </w:rPr>
        <w:t>et al., 202</w:t>
      </w:r>
      <w:r w:rsidR="00B40101" w:rsidRPr="00E87CD9">
        <w:rPr>
          <w:rFonts w:eastAsiaTheme="minorHAnsi"/>
          <w:color w:val="auto"/>
          <w:sz w:val="28"/>
          <w:szCs w:val="28"/>
        </w:rPr>
        <w:t>1</w:t>
      </w:r>
      <w:r w:rsidRPr="00E87CD9">
        <w:rPr>
          <w:rFonts w:eastAsiaTheme="minorHAnsi"/>
          <w:color w:val="auto"/>
          <w:sz w:val="28"/>
          <w:szCs w:val="28"/>
        </w:rPr>
        <w:t xml:space="preserve">; </w:t>
      </w:r>
      <w:r w:rsidRPr="00E87CD9">
        <w:rPr>
          <w:color w:val="auto"/>
          <w:sz w:val="28"/>
          <w:szCs w:val="28"/>
        </w:rPr>
        <w:t xml:space="preserve">K-H. Kim </w:t>
      </w:r>
      <w:r w:rsidRPr="00E87CD9">
        <w:rPr>
          <w:rFonts w:eastAsiaTheme="minorHAnsi"/>
          <w:color w:val="auto"/>
          <w:sz w:val="28"/>
          <w:szCs w:val="28"/>
        </w:rPr>
        <w:t xml:space="preserve">et al., 2020; </w:t>
      </w:r>
      <w:r w:rsidRPr="00E87CD9">
        <w:rPr>
          <w:rFonts w:eastAsia="Arial Unicode MS"/>
          <w:color w:val="auto"/>
          <w:sz w:val="28"/>
          <w:szCs w:val="28"/>
        </w:rPr>
        <w:t xml:space="preserve">A. Qaseem </w:t>
      </w:r>
      <w:r w:rsidRPr="00E87CD9">
        <w:rPr>
          <w:rFonts w:eastAsiaTheme="minorHAnsi"/>
          <w:color w:val="auto"/>
          <w:sz w:val="28"/>
          <w:szCs w:val="28"/>
        </w:rPr>
        <w:t>et al., 2020</w:t>
      </w:r>
      <w:r w:rsidR="00130C90" w:rsidRPr="00E87CD9">
        <w:rPr>
          <w:rFonts w:eastAsiaTheme="minorHAnsi"/>
          <w:color w:val="auto"/>
          <w:sz w:val="28"/>
          <w:szCs w:val="28"/>
        </w:rPr>
        <w:t xml:space="preserve">; </w:t>
      </w:r>
      <w:r w:rsidR="00130C90" w:rsidRPr="00E87CD9">
        <w:rPr>
          <w:bCs/>
          <w:iCs/>
          <w:color w:val="auto"/>
          <w:sz w:val="28"/>
          <w:szCs w:val="28"/>
          <w:lang w:eastAsia="ru-RU"/>
        </w:rPr>
        <w:t xml:space="preserve">V. V. Povoroznyuk </w:t>
      </w:r>
      <w:r w:rsidR="00130C90" w:rsidRPr="00E87CD9">
        <w:rPr>
          <w:rFonts w:eastAsiaTheme="minorHAnsi"/>
          <w:color w:val="auto"/>
          <w:sz w:val="28"/>
          <w:szCs w:val="28"/>
        </w:rPr>
        <w:t>et al., 2020;</w:t>
      </w:r>
      <w:r w:rsidR="00C073FF" w:rsidRPr="00E87CD9">
        <w:rPr>
          <w:color w:val="auto"/>
          <w:sz w:val="28"/>
          <w:szCs w:val="28"/>
          <w:lang w:eastAsia="ru-RU"/>
        </w:rPr>
        <w:t xml:space="preserve">Н. І. Волощук, </w:t>
      </w:r>
      <w:r w:rsidR="00C073FF" w:rsidRPr="00E87CD9">
        <w:rPr>
          <w:color w:val="auto"/>
          <w:sz w:val="28"/>
          <w:szCs w:val="28"/>
          <w:shd w:val="clear" w:color="auto" w:fill="FFFFFF"/>
          <w:lang w:bidi="ru-RU"/>
        </w:rPr>
        <w:t xml:space="preserve">2008, 2009; </w:t>
      </w:r>
      <w:r w:rsidR="00130C90" w:rsidRPr="00E87CD9">
        <w:rPr>
          <w:color w:val="auto"/>
          <w:sz w:val="28"/>
          <w:szCs w:val="28"/>
          <w:lang w:eastAsia="ru-RU"/>
        </w:rPr>
        <w:t xml:space="preserve">Н. І. Волощук </w:t>
      </w:r>
      <w:r w:rsidR="00130C90" w:rsidRPr="00E87CD9">
        <w:rPr>
          <w:color w:val="auto"/>
          <w:sz w:val="28"/>
          <w:szCs w:val="28"/>
          <w:shd w:val="clear" w:color="auto" w:fill="FFFFFF"/>
          <w:lang w:bidi="ru-RU"/>
        </w:rPr>
        <w:t xml:space="preserve">з співавт., </w:t>
      </w:r>
      <w:r w:rsidR="00C073FF" w:rsidRPr="00E87CD9">
        <w:rPr>
          <w:color w:val="auto"/>
          <w:sz w:val="28"/>
          <w:szCs w:val="28"/>
          <w:shd w:val="clear" w:color="auto" w:fill="FFFFFF"/>
          <w:lang w:bidi="ru-RU"/>
        </w:rPr>
        <w:t xml:space="preserve">2007, </w:t>
      </w:r>
      <w:r w:rsidR="00130C90" w:rsidRPr="00E87CD9">
        <w:rPr>
          <w:color w:val="auto"/>
          <w:sz w:val="28"/>
          <w:szCs w:val="28"/>
          <w:shd w:val="clear" w:color="auto" w:fill="FFFFFF"/>
          <w:lang w:bidi="ru-RU"/>
        </w:rPr>
        <w:t>2013</w:t>
      </w:r>
      <w:r w:rsidRPr="00E87CD9">
        <w:rPr>
          <w:color w:val="auto"/>
          <w:sz w:val="28"/>
          <w:szCs w:val="28"/>
        </w:rPr>
        <w:t>).</w:t>
      </w:r>
    </w:p>
    <w:p w:rsidR="00417DC7" w:rsidRPr="00E87CD9" w:rsidRDefault="00417DC7" w:rsidP="00417DC7">
      <w:pPr>
        <w:ind w:firstLine="567"/>
        <w:jc w:val="both"/>
        <w:rPr>
          <w:color w:val="auto"/>
          <w:sz w:val="28"/>
          <w:szCs w:val="28"/>
        </w:rPr>
      </w:pPr>
      <w:r w:rsidRPr="00E87CD9">
        <w:rPr>
          <w:color w:val="auto"/>
          <w:sz w:val="28"/>
          <w:szCs w:val="28"/>
        </w:rPr>
        <w:t>Фармакотерапія остеоартрозу (ОА) та гіпотиреозу (ГІТ) є однією з актуальних проблем сучасної медицини у всьому світі не лише через те, що ці патологічні стани є вельми поширеними, характеризуються тяжким перебігом та наслідками, що призводять до інвалідизації населення (</w:t>
      </w:r>
      <w:r w:rsidR="00866742" w:rsidRPr="00E87CD9">
        <w:rPr>
          <w:rFonts w:eastAsia="Arial Unicode MS"/>
          <w:color w:val="auto"/>
          <w:sz w:val="28"/>
          <w:szCs w:val="28"/>
          <w:shd w:val="clear" w:color="auto" w:fill="FFFFFF"/>
        </w:rPr>
        <w:t xml:space="preserve">N. Patil </w:t>
      </w:r>
      <w:r w:rsidR="00866742" w:rsidRPr="00E87CD9">
        <w:rPr>
          <w:rFonts w:eastAsiaTheme="minorHAnsi"/>
          <w:color w:val="auto"/>
          <w:sz w:val="28"/>
          <w:szCs w:val="28"/>
        </w:rPr>
        <w:t xml:space="preserve">et al., 2021; </w:t>
      </w:r>
      <w:r w:rsidRPr="00E87CD9">
        <w:rPr>
          <w:rStyle w:val="authors-list-item"/>
          <w:color w:val="auto"/>
          <w:sz w:val="28"/>
          <w:szCs w:val="28"/>
        </w:rPr>
        <w:t>B. Abramoff</w:t>
      </w:r>
      <w:r w:rsidRPr="00E87CD9">
        <w:rPr>
          <w:rStyle w:val="comma"/>
          <w:color w:val="auto"/>
          <w:sz w:val="28"/>
          <w:szCs w:val="28"/>
          <w:shd w:val="clear" w:color="auto" w:fill="FFFFFF"/>
        </w:rPr>
        <w:t xml:space="preserve">, </w:t>
      </w:r>
      <w:r w:rsidRPr="00E87CD9">
        <w:rPr>
          <w:rStyle w:val="authors-list-item"/>
          <w:color w:val="auto"/>
          <w:sz w:val="28"/>
          <w:szCs w:val="28"/>
        </w:rPr>
        <w:t>F. E. Caldera, 20</w:t>
      </w:r>
      <w:r w:rsidR="00B40101" w:rsidRPr="00E87CD9">
        <w:rPr>
          <w:rStyle w:val="authors-list-item"/>
          <w:color w:val="auto"/>
          <w:sz w:val="28"/>
          <w:szCs w:val="28"/>
        </w:rPr>
        <w:t>20</w:t>
      </w:r>
      <w:r w:rsidRPr="00E87CD9">
        <w:rPr>
          <w:rStyle w:val="authors-list-item"/>
          <w:color w:val="auto"/>
          <w:sz w:val="28"/>
          <w:szCs w:val="28"/>
        </w:rPr>
        <w:t xml:space="preserve">; </w:t>
      </w:r>
      <w:r w:rsidRPr="00E87CD9">
        <w:rPr>
          <w:rFonts w:eastAsia="Arial Unicode MS"/>
          <w:color w:val="auto"/>
          <w:sz w:val="28"/>
          <w:szCs w:val="28"/>
          <w:shd w:val="clear" w:color="auto" w:fill="FFFFFF"/>
        </w:rPr>
        <w:t>M. T. McDermott, 2020</w:t>
      </w:r>
      <w:r w:rsidR="00CD74DE" w:rsidRPr="00E87CD9">
        <w:rPr>
          <w:rFonts w:eastAsia="Arial Unicode MS"/>
          <w:color w:val="auto"/>
          <w:sz w:val="28"/>
          <w:szCs w:val="28"/>
          <w:shd w:val="clear" w:color="auto" w:fill="FFFFFF"/>
        </w:rPr>
        <w:t xml:space="preserve">; </w:t>
      </w:r>
      <w:r w:rsidR="00CD74DE" w:rsidRPr="00E87CD9">
        <w:rPr>
          <w:bCs/>
          <w:iCs/>
          <w:color w:val="auto"/>
          <w:sz w:val="28"/>
          <w:szCs w:val="28"/>
          <w:lang w:eastAsia="ru-RU"/>
        </w:rPr>
        <w:t>І. Г. Палій, І. В. Ткачук, 2019</w:t>
      </w:r>
      <w:r w:rsidRPr="00E87CD9">
        <w:rPr>
          <w:color w:val="auto"/>
          <w:sz w:val="28"/>
          <w:szCs w:val="28"/>
        </w:rPr>
        <w:t>), а ще і через недостатність знань щодо можливості та доцільності застосування ліків різних фармакотерапевтичних груп на тлі ОА, коморбідного з ГІТ. У цьому аспекті особливого значення набуває проблема знеболення, що окреслює актуальність дослідження ефективності та безпечності окремих аналгетиків за комбінованого застосування з препаратами, що використовуються для лікування ГІТ.</w:t>
      </w:r>
    </w:p>
    <w:p w:rsidR="00417DC7" w:rsidRPr="00E87CD9" w:rsidRDefault="00417DC7" w:rsidP="00417DC7">
      <w:pPr>
        <w:ind w:firstLine="567"/>
        <w:jc w:val="both"/>
        <w:rPr>
          <w:b/>
          <w:color w:val="auto"/>
          <w:sz w:val="28"/>
          <w:szCs w:val="28"/>
        </w:rPr>
      </w:pPr>
      <w:r w:rsidRPr="00E87CD9">
        <w:rPr>
          <w:color w:val="auto"/>
          <w:sz w:val="28"/>
          <w:szCs w:val="28"/>
        </w:rPr>
        <w:t>Окремі нозологічні форми ГІТ та ОА відрізняються за своєю етіологією. З недостатньою функціональною активністю щитоподібної залози (ЩЗ) пов'язаний розвиток ГІТ, а ОА – це дегенеративно-дистрофічний та запальний процес, що характеризується первинним ушкодженням гіалінового хряща суглоба (</w:t>
      </w:r>
      <w:r w:rsidRPr="00E87CD9">
        <w:rPr>
          <w:rFonts w:eastAsia="Arial Unicode MS"/>
          <w:color w:val="auto"/>
          <w:sz w:val="28"/>
          <w:szCs w:val="28"/>
          <w:shd w:val="clear" w:color="auto" w:fill="FFFFFF"/>
        </w:rPr>
        <w:t>A. M. Borzì</w:t>
      </w:r>
      <w:r w:rsidRPr="00E87CD9">
        <w:rPr>
          <w:rFonts w:eastAsiaTheme="minorHAnsi"/>
          <w:color w:val="auto"/>
          <w:sz w:val="28"/>
          <w:szCs w:val="28"/>
        </w:rPr>
        <w:t xml:space="preserve">et </w:t>
      </w:r>
      <w:r w:rsidR="00E777F3" w:rsidRPr="00E87CD9">
        <w:rPr>
          <w:rFonts w:eastAsiaTheme="minorHAnsi"/>
          <w:color w:val="auto"/>
          <w:sz w:val="28"/>
          <w:szCs w:val="28"/>
        </w:rPr>
        <w:t xml:space="preserve">et </w:t>
      </w:r>
      <w:r w:rsidRPr="00E87CD9">
        <w:rPr>
          <w:rFonts w:eastAsiaTheme="minorHAnsi"/>
          <w:color w:val="auto"/>
          <w:sz w:val="28"/>
          <w:szCs w:val="28"/>
        </w:rPr>
        <w:t xml:space="preserve">al., 2020; </w:t>
      </w:r>
      <w:r w:rsidRPr="00E87CD9">
        <w:rPr>
          <w:rFonts w:eastAsia="Arial Unicode MS"/>
          <w:color w:val="auto"/>
          <w:sz w:val="28"/>
          <w:szCs w:val="28"/>
          <w:shd w:val="clear" w:color="auto" w:fill="FFFFFF"/>
        </w:rPr>
        <w:t>T. Hügle</w:t>
      </w:r>
      <w:r w:rsidRPr="00E87CD9">
        <w:rPr>
          <w:color w:val="auto"/>
          <w:sz w:val="28"/>
          <w:szCs w:val="28"/>
        </w:rPr>
        <w:t xml:space="preserve">, 2020; </w:t>
      </w:r>
      <w:r w:rsidRPr="00E87CD9">
        <w:rPr>
          <w:rStyle w:val="authors-list-item"/>
          <w:color w:val="auto"/>
          <w:sz w:val="28"/>
          <w:szCs w:val="28"/>
        </w:rPr>
        <w:t>S. Grässel</w:t>
      </w:r>
      <w:r w:rsidRPr="00E87CD9">
        <w:rPr>
          <w:rStyle w:val="comma"/>
          <w:color w:val="auto"/>
          <w:sz w:val="28"/>
          <w:szCs w:val="28"/>
          <w:shd w:val="clear" w:color="auto" w:fill="FFFFFF"/>
        </w:rPr>
        <w:t xml:space="preserve">, </w:t>
      </w:r>
      <w:r w:rsidRPr="00E87CD9">
        <w:rPr>
          <w:rStyle w:val="authors-list-item"/>
          <w:color w:val="auto"/>
          <w:sz w:val="28"/>
          <w:szCs w:val="28"/>
        </w:rPr>
        <w:t>D. Muschter</w:t>
      </w:r>
      <w:r w:rsidRPr="00E87CD9">
        <w:rPr>
          <w:rStyle w:val="authors-list-item"/>
          <w:rFonts w:eastAsia="Arial Unicode MS"/>
          <w:color w:val="auto"/>
          <w:sz w:val="28"/>
          <w:szCs w:val="28"/>
          <w:shd w:val="clear" w:color="auto" w:fill="FFFFFF"/>
        </w:rPr>
        <w:t>, 2020</w:t>
      </w:r>
      <w:r w:rsidR="00CD74DE" w:rsidRPr="00E87CD9">
        <w:rPr>
          <w:rStyle w:val="authors-list-item"/>
          <w:rFonts w:eastAsia="Arial Unicode MS"/>
          <w:color w:val="auto"/>
          <w:sz w:val="28"/>
          <w:szCs w:val="28"/>
          <w:shd w:val="clear" w:color="auto" w:fill="FFFFFF"/>
        </w:rPr>
        <w:t xml:space="preserve">; </w:t>
      </w:r>
      <w:r w:rsidR="00CD74DE" w:rsidRPr="00E87CD9">
        <w:rPr>
          <w:rFonts w:eastAsia="BlinkMacSystemFont"/>
          <w:color w:val="auto"/>
          <w:sz w:val="28"/>
          <w:szCs w:val="28"/>
        </w:rPr>
        <w:t xml:space="preserve">L. Voloshyna </w:t>
      </w:r>
      <w:r w:rsidR="00CD74DE" w:rsidRPr="00E87CD9">
        <w:rPr>
          <w:rFonts w:eastAsiaTheme="minorHAnsi"/>
          <w:color w:val="auto"/>
          <w:sz w:val="28"/>
          <w:szCs w:val="28"/>
        </w:rPr>
        <w:t>et al., 2017</w:t>
      </w:r>
      <w:r w:rsidRPr="00E87CD9">
        <w:rPr>
          <w:color w:val="auto"/>
          <w:sz w:val="28"/>
          <w:szCs w:val="28"/>
        </w:rPr>
        <w:t xml:space="preserve">). Проте </w:t>
      </w:r>
      <w:r w:rsidRPr="00E87CD9">
        <w:rPr>
          <w:color w:val="auto"/>
          <w:sz w:val="28"/>
          <w:szCs w:val="28"/>
          <w:shd w:val="clear" w:color="auto" w:fill="FFFFFF"/>
        </w:rPr>
        <w:t xml:space="preserve">певну роль у розвитку ОА відіграють й ендокринні фактори </w:t>
      </w:r>
      <w:r w:rsidRPr="00E87CD9">
        <w:rPr>
          <w:color w:val="auto"/>
          <w:sz w:val="28"/>
          <w:szCs w:val="28"/>
        </w:rPr>
        <w:t xml:space="preserve">(D. J. Hunter </w:t>
      </w:r>
      <w:r w:rsidRPr="00E87CD9">
        <w:rPr>
          <w:rFonts w:eastAsiaTheme="minorHAnsi"/>
          <w:color w:val="auto"/>
          <w:sz w:val="28"/>
          <w:szCs w:val="28"/>
        </w:rPr>
        <w:t>et al., 2020</w:t>
      </w:r>
      <w:r w:rsidR="00CD74DE" w:rsidRPr="00E87CD9">
        <w:rPr>
          <w:rFonts w:eastAsiaTheme="minorHAnsi"/>
          <w:color w:val="auto"/>
          <w:sz w:val="28"/>
          <w:szCs w:val="28"/>
        </w:rPr>
        <w:t xml:space="preserve">; </w:t>
      </w:r>
      <w:r w:rsidR="00C2778F" w:rsidRPr="00E87CD9">
        <w:rPr>
          <w:bCs/>
          <w:color w:val="auto"/>
          <w:sz w:val="28"/>
          <w:szCs w:val="28"/>
        </w:rPr>
        <w:t>Л. О.Волошина, 2018</w:t>
      </w:r>
      <w:r w:rsidRPr="00E87CD9">
        <w:rPr>
          <w:color w:val="auto"/>
          <w:sz w:val="28"/>
          <w:szCs w:val="28"/>
        </w:rPr>
        <w:t>)</w:t>
      </w:r>
      <w:r w:rsidRPr="00E87CD9">
        <w:rPr>
          <w:color w:val="auto"/>
          <w:sz w:val="28"/>
          <w:szCs w:val="28"/>
          <w:shd w:val="clear" w:color="auto" w:fill="FFFFFF"/>
        </w:rPr>
        <w:t>.</w:t>
      </w:r>
    </w:p>
    <w:p w:rsidR="00417DC7" w:rsidRPr="00E87CD9" w:rsidRDefault="00417DC7" w:rsidP="00417DC7">
      <w:pPr>
        <w:pStyle w:val="Default"/>
        <w:ind w:firstLine="567"/>
        <w:jc w:val="both"/>
        <w:rPr>
          <w:rFonts w:cs="Times New Roman"/>
          <w:b/>
          <w:color w:val="auto"/>
          <w:sz w:val="28"/>
          <w:szCs w:val="28"/>
          <w:lang w:val="uk-UA"/>
        </w:rPr>
      </w:pPr>
      <w:r w:rsidRPr="00E87CD9">
        <w:rPr>
          <w:rFonts w:cs="Times New Roman"/>
          <w:color w:val="auto"/>
          <w:sz w:val="28"/>
          <w:szCs w:val="28"/>
          <w:lang w:val="uk-UA"/>
        </w:rPr>
        <w:t>Як окремі нозологічні захворювання ГІТ та ОА досить широко досліджені і розроблені протоколи надання медичної допомоги на різних рівнях. Продовжуються дослідження патофізіолог</w:t>
      </w:r>
      <w:r w:rsidR="0039726A" w:rsidRPr="00E87CD9">
        <w:rPr>
          <w:rFonts w:cs="Times New Roman"/>
          <w:color w:val="auto"/>
          <w:sz w:val="28"/>
          <w:szCs w:val="28"/>
          <w:lang w:val="uk-UA"/>
        </w:rPr>
        <w:t>і</w:t>
      </w:r>
      <w:r w:rsidRPr="00E87CD9">
        <w:rPr>
          <w:rFonts w:cs="Times New Roman"/>
          <w:color w:val="auto"/>
          <w:sz w:val="28"/>
          <w:szCs w:val="28"/>
          <w:lang w:val="uk-UA"/>
        </w:rPr>
        <w:t>чних механізмів цих захворювань, зокрема, з метою удосконалення методів та шляхів фармакологічної корекції патогенетичного та симптоматичного спрямування. До таких досліджень долучаються фахівці різних спеціальностей (ендокринологи, ортопеди, ревматологи тощо) (</w:t>
      </w:r>
      <w:r w:rsidR="0075688D" w:rsidRPr="00E87CD9">
        <w:rPr>
          <w:rFonts w:cs="Times New Roman"/>
          <w:color w:val="auto"/>
          <w:sz w:val="28"/>
          <w:szCs w:val="28"/>
          <w:shd w:val="clear" w:color="auto" w:fill="FFFFFF"/>
          <w:lang w:val="uk-UA"/>
        </w:rPr>
        <w:t xml:space="preserve">L. Sharma, 2021; </w:t>
      </w:r>
      <w:r w:rsidR="0075688D" w:rsidRPr="00E87CD9">
        <w:rPr>
          <w:rFonts w:cs="Times New Roman"/>
          <w:color w:val="auto"/>
          <w:kern w:val="28"/>
          <w:sz w:val="28"/>
          <w:szCs w:val="28"/>
          <w:lang w:val="uk-UA"/>
        </w:rPr>
        <w:t xml:space="preserve">О. Ленг, С. Разви, 2019; </w:t>
      </w:r>
      <w:r w:rsidRPr="00E87CD9">
        <w:rPr>
          <w:rFonts w:cs="Times New Roman"/>
          <w:bCs/>
          <w:color w:val="auto"/>
          <w:sz w:val="28"/>
          <w:szCs w:val="28"/>
          <w:lang w:val="uk-UA"/>
        </w:rPr>
        <w:t>Л. О. Волошина, 201</w:t>
      </w:r>
      <w:r w:rsidR="00A762BF" w:rsidRPr="00E87CD9">
        <w:rPr>
          <w:rFonts w:cs="Times New Roman"/>
          <w:bCs/>
          <w:color w:val="auto"/>
          <w:sz w:val="28"/>
          <w:szCs w:val="28"/>
          <w:lang w:val="uk-UA"/>
        </w:rPr>
        <w:t xml:space="preserve">8; </w:t>
      </w:r>
      <w:r w:rsidR="00A762BF" w:rsidRPr="00E87CD9">
        <w:rPr>
          <w:rFonts w:cs="Times New Roman"/>
          <w:color w:val="auto"/>
          <w:sz w:val="28"/>
          <w:szCs w:val="28"/>
          <w:shd w:val="clear" w:color="auto" w:fill="FFFFFF"/>
          <w:lang w:val="uk-UA"/>
        </w:rPr>
        <w:t>В. В. Поворознюк</w:t>
      </w:r>
      <w:r w:rsidR="00A762BF" w:rsidRPr="00E87CD9">
        <w:rPr>
          <w:rFonts w:cs="Times New Roman"/>
          <w:color w:val="auto"/>
          <w:sz w:val="28"/>
          <w:szCs w:val="28"/>
          <w:shd w:val="clear" w:color="auto" w:fill="FFFFFF"/>
          <w:lang w:val="uk-UA" w:bidi="ru-RU"/>
        </w:rPr>
        <w:t xml:space="preserve"> з співавт., 2014</w:t>
      </w:r>
      <w:r w:rsidRPr="00E87CD9">
        <w:rPr>
          <w:rFonts w:cs="Times New Roman"/>
          <w:color w:val="auto"/>
          <w:sz w:val="28"/>
          <w:szCs w:val="28"/>
          <w:lang w:val="uk-UA"/>
        </w:rPr>
        <w:t>). Водночас, фактично не висвітлені в літературі питання щодо проблеми знеболення за ОА, асоційованого з ГІТ, не розроблені пропозиції щодо раціонального та безпечного використання аналгетиків з препаратами, здатними впливати на функціональний стан ЩЗ.</w:t>
      </w:r>
    </w:p>
    <w:p w:rsidR="00417DC7" w:rsidRPr="00E87CD9" w:rsidRDefault="00417DC7" w:rsidP="00417DC7">
      <w:pPr>
        <w:ind w:firstLine="567"/>
        <w:jc w:val="both"/>
        <w:rPr>
          <w:color w:val="auto"/>
          <w:sz w:val="28"/>
          <w:szCs w:val="28"/>
        </w:rPr>
      </w:pPr>
      <w:r w:rsidRPr="00E87CD9">
        <w:rPr>
          <w:color w:val="auto"/>
          <w:sz w:val="28"/>
          <w:szCs w:val="28"/>
        </w:rPr>
        <w:t>Відомий взаємозв'язок патології ЩЗ з розвитком ревматоїдного артриту (</w:t>
      </w:r>
      <w:r w:rsidR="00AD7495" w:rsidRPr="00E87CD9">
        <w:rPr>
          <w:color w:val="auto"/>
          <w:sz w:val="28"/>
          <w:szCs w:val="28"/>
          <w:shd w:val="clear" w:color="auto" w:fill="FFFFFF"/>
        </w:rPr>
        <w:t>G. ConstantinodeCampos</w:t>
      </w:r>
      <w:r w:rsidR="00AD7495" w:rsidRPr="00E87CD9">
        <w:rPr>
          <w:rFonts w:eastAsiaTheme="minorHAnsi"/>
          <w:color w:val="auto"/>
          <w:sz w:val="28"/>
          <w:szCs w:val="28"/>
        </w:rPr>
        <w:t xml:space="preserve">et </w:t>
      </w:r>
      <w:r w:rsidR="00A270C1" w:rsidRPr="00E87CD9">
        <w:rPr>
          <w:rFonts w:eastAsiaTheme="minorHAnsi"/>
          <w:color w:val="auto"/>
          <w:sz w:val="28"/>
          <w:szCs w:val="28"/>
        </w:rPr>
        <w:t xml:space="preserve">et </w:t>
      </w:r>
      <w:r w:rsidR="00AD7495" w:rsidRPr="00E87CD9">
        <w:rPr>
          <w:rFonts w:eastAsiaTheme="minorHAnsi"/>
          <w:color w:val="auto"/>
          <w:sz w:val="28"/>
          <w:szCs w:val="28"/>
        </w:rPr>
        <w:t>al., 2020</w:t>
      </w:r>
      <w:r w:rsidRPr="00E87CD9">
        <w:rPr>
          <w:color w:val="auto"/>
          <w:sz w:val="28"/>
          <w:szCs w:val="28"/>
        </w:rPr>
        <w:t>)і системного червоного вовчаку (</w:t>
      </w:r>
      <w:r w:rsidR="00093B67" w:rsidRPr="00E87CD9">
        <w:rPr>
          <w:color w:val="auto"/>
          <w:sz w:val="28"/>
          <w:szCs w:val="28"/>
          <w:shd w:val="clear" w:color="auto" w:fill="FFFFFF"/>
        </w:rPr>
        <w:t>D. A. Marshall</w:t>
      </w:r>
      <w:r w:rsidR="00C27799" w:rsidRPr="00E87CD9">
        <w:rPr>
          <w:rFonts w:eastAsiaTheme="minorHAnsi"/>
          <w:color w:val="auto"/>
          <w:sz w:val="28"/>
          <w:szCs w:val="28"/>
        </w:rPr>
        <w:t xml:space="preserve">et al., </w:t>
      </w:r>
      <w:r w:rsidR="00C27799" w:rsidRPr="00E87CD9">
        <w:rPr>
          <w:color w:val="auto"/>
          <w:sz w:val="28"/>
          <w:szCs w:val="28"/>
        </w:rPr>
        <w:t>2019</w:t>
      </w:r>
      <w:r w:rsidRPr="00E87CD9">
        <w:rPr>
          <w:color w:val="auto"/>
          <w:sz w:val="28"/>
          <w:szCs w:val="28"/>
        </w:rPr>
        <w:t>), цукрового діабету (</w:t>
      </w:r>
      <w:r w:rsidR="002A03B9" w:rsidRPr="00E87CD9">
        <w:rPr>
          <w:color w:val="auto"/>
          <w:sz w:val="28"/>
          <w:szCs w:val="28"/>
          <w:shd w:val="clear" w:color="auto" w:fill="FFFFFF"/>
        </w:rPr>
        <w:t>A. Punda</w:t>
      </w:r>
      <w:r w:rsidR="002A03B9" w:rsidRPr="00E87CD9">
        <w:rPr>
          <w:rFonts w:eastAsiaTheme="minorHAnsi"/>
          <w:color w:val="auto"/>
          <w:sz w:val="28"/>
          <w:szCs w:val="28"/>
        </w:rPr>
        <w:t xml:space="preserve">et al., 2020; </w:t>
      </w:r>
      <w:r w:rsidR="00547524" w:rsidRPr="00E87CD9">
        <w:rPr>
          <w:color w:val="auto"/>
          <w:sz w:val="28"/>
          <w:szCs w:val="28"/>
          <w:shd w:val="clear" w:color="auto" w:fill="FFFFFF"/>
        </w:rPr>
        <w:t>G. Devecerski</w:t>
      </w:r>
      <w:r w:rsidR="00547524" w:rsidRPr="00E87CD9">
        <w:rPr>
          <w:rFonts w:eastAsiaTheme="minorHAnsi"/>
          <w:color w:val="auto"/>
          <w:sz w:val="28"/>
          <w:szCs w:val="28"/>
        </w:rPr>
        <w:t>et al., 2006</w:t>
      </w:r>
      <w:r w:rsidRPr="00E87CD9">
        <w:rPr>
          <w:color w:val="auto"/>
          <w:sz w:val="28"/>
          <w:szCs w:val="28"/>
        </w:rPr>
        <w:t>), серцево-судинної патології (</w:t>
      </w:r>
      <w:r w:rsidR="002C6711" w:rsidRPr="00E87CD9">
        <w:rPr>
          <w:color w:val="auto"/>
          <w:sz w:val="28"/>
          <w:szCs w:val="28"/>
          <w:shd w:val="clear" w:color="auto" w:fill="FFFFFF"/>
        </w:rPr>
        <w:t>S. Swain</w:t>
      </w:r>
      <w:r w:rsidR="002C6711" w:rsidRPr="00E87CD9">
        <w:rPr>
          <w:rFonts w:eastAsiaTheme="minorHAnsi"/>
          <w:color w:val="auto"/>
          <w:sz w:val="28"/>
          <w:szCs w:val="28"/>
        </w:rPr>
        <w:t>et al., 2020</w:t>
      </w:r>
      <w:r w:rsidRPr="00E87CD9">
        <w:rPr>
          <w:color w:val="auto"/>
          <w:sz w:val="28"/>
          <w:szCs w:val="28"/>
        </w:rPr>
        <w:t>), розладами ШКТ</w:t>
      </w:r>
      <w:r w:rsidR="00866742" w:rsidRPr="00E87CD9">
        <w:rPr>
          <w:color w:val="auto"/>
          <w:sz w:val="28"/>
          <w:szCs w:val="28"/>
        </w:rPr>
        <w:t xml:space="preserve"> (</w:t>
      </w:r>
      <w:r w:rsidR="00866742" w:rsidRPr="00E87CD9">
        <w:rPr>
          <w:color w:val="auto"/>
          <w:sz w:val="28"/>
          <w:szCs w:val="28"/>
          <w:shd w:val="clear" w:color="auto" w:fill="FFFFFF"/>
        </w:rPr>
        <w:t>D. A. Marshall</w:t>
      </w:r>
      <w:r w:rsidR="00866742" w:rsidRPr="00E87CD9">
        <w:rPr>
          <w:rFonts w:eastAsiaTheme="minorHAnsi"/>
          <w:color w:val="auto"/>
          <w:sz w:val="28"/>
          <w:szCs w:val="28"/>
        </w:rPr>
        <w:t xml:space="preserve">et al., </w:t>
      </w:r>
      <w:r w:rsidR="00866742" w:rsidRPr="00E87CD9">
        <w:rPr>
          <w:color w:val="auto"/>
          <w:sz w:val="28"/>
          <w:szCs w:val="28"/>
        </w:rPr>
        <w:t>2019)</w:t>
      </w:r>
      <w:r w:rsidRPr="00E87CD9">
        <w:rPr>
          <w:color w:val="auto"/>
          <w:sz w:val="28"/>
          <w:szCs w:val="28"/>
        </w:rPr>
        <w:t>, енергетичного обміну (</w:t>
      </w:r>
      <w:r w:rsidR="002679F5" w:rsidRPr="00E87CD9">
        <w:rPr>
          <w:color w:val="auto"/>
          <w:sz w:val="28"/>
          <w:szCs w:val="28"/>
          <w:shd w:val="clear" w:color="auto" w:fill="FFFFFF"/>
        </w:rPr>
        <w:t>K. Pavelka, 2017</w:t>
      </w:r>
      <w:r w:rsidRPr="00E87CD9">
        <w:rPr>
          <w:color w:val="auto"/>
          <w:sz w:val="28"/>
          <w:szCs w:val="28"/>
        </w:rPr>
        <w:t xml:space="preserve">), вегетативної </w:t>
      </w:r>
      <w:r w:rsidRPr="00E87CD9">
        <w:rPr>
          <w:color w:val="auto"/>
          <w:sz w:val="28"/>
          <w:szCs w:val="28"/>
        </w:rPr>
        <w:lastRenderedPageBreak/>
        <w:t>нервової системи (</w:t>
      </w:r>
      <w:r w:rsidR="002A03B9" w:rsidRPr="00E87CD9">
        <w:rPr>
          <w:color w:val="auto"/>
          <w:sz w:val="28"/>
          <w:szCs w:val="28"/>
          <w:shd w:val="clear" w:color="auto" w:fill="FFFFFF"/>
        </w:rPr>
        <w:t>A. Göbel</w:t>
      </w:r>
      <w:r w:rsidR="002A03B9" w:rsidRPr="00E87CD9">
        <w:rPr>
          <w:rFonts w:eastAsiaTheme="minorHAnsi"/>
          <w:color w:val="auto"/>
          <w:sz w:val="28"/>
          <w:szCs w:val="28"/>
        </w:rPr>
        <w:t>et al., 2020</w:t>
      </w:r>
      <w:r w:rsidRPr="00E87CD9">
        <w:rPr>
          <w:rFonts w:eastAsiaTheme="minorHAnsi"/>
          <w:color w:val="auto"/>
          <w:sz w:val="28"/>
          <w:szCs w:val="28"/>
        </w:rPr>
        <w:t>)</w:t>
      </w:r>
      <w:r w:rsidRPr="00E87CD9">
        <w:rPr>
          <w:color w:val="auto"/>
          <w:sz w:val="28"/>
          <w:szCs w:val="28"/>
        </w:rPr>
        <w:t xml:space="preserve"> і дисбалансу статевих гормонів (</w:t>
      </w:r>
      <w:r w:rsidR="00866742" w:rsidRPr="00E87CD9">
        <w:rPr>
          <w:color w:val="auto"/>
          <w:sz w:val="28"/>
          <w:szCs w:val="28"/>
          <w:shd w:val="clear" w:color="auto" w:fill="FFFFFF"/>
        </w:rPr>
        <w:t>P. F. Teixeira</w:t>
      </w:r>
      <w:r w:rsidR="00866742" w:rsidRPr="00E87CD9">
        <w:rPr>
          <w:rFonts w:eastAsiaTheme="minorHAnsi"/>
          <w:color w:val="auto"/>
          <w:sz w:val="28"/>
          <w:szCs w:val="28"/>
        </w:rPr>
        <w:t xml:space="preserve">et al., 2020; </w:t>
      </w:r>
      <w:r w:rsidR="00093B67" w:rsidRPr="00E87CD9">
        <w:rPr>
          <w:color w:val="auto"/>
          <w:sz w:val="28"/>
          <w:szCs w:val="28"/>
          <w:shd w:val="clear" w:color="auto" w:fill="FFFFFF"/>
        </w:rPr>
        <w:t>A. M. Taylor, 2013</w:t>
      </w:r>
      <w:r w:rsidR="002A03B9" w:rsidRPr="00E87CD9">
        <w:rPr>
          <w:color w:val="auto"/>
          <w:sz w:val="28"/>
          <w:szCs w:val="28"/>
          <w:shd w:val="clear" w:color="auto" w:fill="FFFFFF"/>
        </w:rPr>
        <w:t xml:space="preserve">; </w:t>
      </w:r>
      <w:r w:rsidR="002A03B9" w:rsidRPr="00E87CD9">
        <w:rPr>
          <w:rStyle w:val="A20"/>
          <w:rFonts w:ascii="Times New Roman" w:hAnsi="Times New Roman" w:cs="Times New Roman"/>
          <w:b w:val="0"/>
          <w:bCs w:val="0"/>
          <w:color w:val="auto"/>
          <w:sz w:val="28"/>
          <w:szCs w:val="28"/>
          <w:shd w:val="clear" w:color="auto" w:fill="FFFFFF"/>
          <w:lang w:eastAsia="ru-RU"/>
        </w:rPr>
        <w:t xml:space="preserve">Л. В. Теплова </w:t>
      </w:r>
      <w:r w:rsidR="002A03B9" w:rsidRPr="00E87CD9">
        <w:rPr>
          <w:color w:val="auto"/>
          <w:sz w:val="28"/>
          <w:szCs w:val="28"/>
          <w:shd w:val="clear" w:color="auto" w:fill="FFFFFF"/>
          <w:lang w:bidi="ru-RU"/>
        </w:rPr>
        <w:t>з співавт., 2017</w:t>
      </w:r>
      <w:r w:rsidRPr="00E87CD9">
        <w:rPr>
          <w:color w:val="auto"/>
          <w:sz w:val="28"/>
          <w:szCs w:val="28"/>
        </w:rPr>
        <w:t>). При ГІТ активуються процеси перек</w:t>
      </w:r>
      <w:r w:rsidR="00A270C1" w:rsidRPr="00E87CD9">
        <w:rPr>
          <w:color w:val="auto"/>
          <w:sz w:val="28"/>
          <w:szCs w:val="28"/>
        </w:rPr>
        <w:t>и</w:t>
      </w:r>
      <w:r w:rsidRPr="00E87CD9">
        <w:rPr>
          <w:color w:val="auto"/>
          <w:sz w:val="28"/>
          <w:szCs w:val="28"/>
        </w:rPr>
        <w:t>сного окислення ліпідів, підвищується чутливість до стресу, уповільнюються окислювально-відновні реакції, порушується терморегуляція, накопичуються продукти обміну, виникають функціональні порушення ЦНС та ССС, розвивається дистрофія тканин з формуванням слизового набряку (мікседема) і розвитком «гіпотиреозних» артропатій і міопатій (</w:t>
      </w:r>
      <w:r w:rsidR="008F5EFC" w:rsidRPr="00E87CD9">
        <w:rPr>
          <w:color w:val="auto"/>
          <w:sz w:val="28"/>
          <w:szCs w:val="28"/>
        </w:rPr>
        <w:t xml:space="preserve">В. С. Вернигородский </w:t>
      </w:r>
      <w:r w:rsidR="008F5EFC" w:rsidRPr="00E87CD9">
        <w:rPr>
          <w:color w:val="auto"/>
          <w:sz w:val="28"/>
          <w:szCs w:val="28"/>
          <w:shd w:val="clear" w:color="auto" w:fill="FFFFFF"/>
          <w:lang w:bidi="ru-RU"/>
        </w:rPr>
        <w:t xml:space="preserve">з співавт., 2018; </w:t>
      </w:r>
      <w:r w:rsidR="002A03B9" w:rsidRPr="00E87CD9">
        <w:rPr>
          <w:rStyle w:val="afa"/>
          <w:rFonts w:eastAsia="Arial Unicode MS"/>
          <w:i w:val="0"/>
          <w:iCs w:val="0"/>
          <w:color w:val="auto"/>
          <w:sz w:val="28"/>
          <w:szCs w:val="28"/>
        </w:rPr>
        <w:t xml:space="preserve">В. В. Поворознюк, 2014; </w:t>
      </w:r>
      <w:r w:rsidR="008F5EFC" w:rsidRPr="00E87CD9">
        <w:rPr>
          <w:color w:val="auto"/>
          <w:sz w:val="28"/>
          <w:szCs w:val="28"/>
        </w:rPr>
        <w:t>В.І. Ткаченко, 2007</w:t>
      </w:r>
      <w:r w:rsidRPr="00E87CD9">
        <w:rPr>
          <w:color w:val="auto"/>
          <w:sz w:val="28"/>
          <w:szCs w:val="28"/>
        </w:rPr>
        <w:t>). Тому особливого значення набувають питання фармакологічної корекції за сумісного перебігу ОА з ГІТ, здатних ускладнювати та прискорювати негативні наслідки метаболічного дисбалансу. Відомо про наявність та ступінь метаболічних порушень при ГІТ, що негативно впливають на стан кісткової і хрящової тканини, однак можливості фармакотерапії щодо стимуляції регенерації та нормаліз</w:t>
      </w:r>
      <w:r w:rsidR="00972764" w:rsidRPr="00E87CD9">
        <w:rPr>
          <w:color w:val="auto"/>
          <w:sz w:val="28"/>
          <w:szCs w:val="28"/>
        </w:rPr>
        <w:t>а</w:t>
      </w:r>
      <w:r w:rsidRPr="00E87CD9">
        <w:rPr>
          <w:color w:val="auto"/>
          <w:sz w:val="28"/>
          <w:szCs w:val="28"/>
        </w:rPr>
        <w:t>ції метаболічних порушень вивчені недостатньо (</w:t>
      </w:r>
      <w:r w:rsidRPr="00E87CD9">
        <w:rPr>
          <w:rFonts w:eastAsiaTheme="minorHAnsi"/>
          <w:color w:val="auto"/>
          <w:sz w:val="28"/>
          <w:szCs w:val="28"/>
        </w:rPr>
        <w:t>G. R. Williams, 2013;</w:t>
      </w:r>
      <w:r w:rsidR="00093B67" w:rsidRPr="00E87CD9">
        <w:rPr>
          <w:color w:val="auto"/>
          <w:sz w:val="28"/>
          <w:szCs w:val="28"/>
          <w:shd w:val="clear" w:color="auto" w:fill="FFFFFF"/>
        </w:rPr>
        <w:t>A. C. Bay-Jensen</w:t>
      </w:r>
      <w:r w:rsidR="00093B67" w:rsidRPr="00E87CD9">
        <w:rPr>
          <w:rFonts w:eastAsiaTheme="minorHAnsi"/>
          <w:color w:val="auto"/>
          <w:sz w:val="28"/>
          <w:szCs w:val="28"/>
        </w:rPr>
        <w:t>et al., 2013</w:t>
      </w:r>
      <w:r w:rsidR="002679F5" w:rsidRPr="00E87CD9">
        <w:rPr>
          <w:rFonts w:eastAsiaTheme="minorHAnsi"/>
          <w:color w:val="auto"/>
          <w:sz w:val="28"/>
          <w:szCs w:val="28"/>
        </w:rPr>
        <w:t xml:space="preserve">; </w:t>
      </w:r>
      <w:r w:rsidR="0067334E" w:rsidRPr="00E87CD9">
        <w:rPr>
          <w:rFonts w:eastAsia="BlinkMacSystemFont"/>
          <w:color w:val="auto"/>
          <w:sz w:val="28"/>
          <w:szCs w:val="28"/>
        </w:rPr>
        <w:t xml:space="preserve">Г. А. Мельниченко, Т. Б. Моргунова, 2009; </w:t>
      </w:r>
      <w:r w:rsidR="002679F5" w:rsidRPr="00E87CD9">
        <w:rPr>
          <w:rFonts w:eastAsia="BlinkMacSystemFont"/>
          <w:color w:val="auto"/>
          <w:sz w:val="28"/>
          <w:szCs w:val="28"/>
        </w:rPr>
        <w:t xml:space="preserve">Ж. Е. </w:t>
      </w:r>
      <w:r w:rsidR="002679F5" w:rsidRPr="00E87CD9">
        <w:rPr>
          <w:rFonts w:eastAsia="Calibri"/>
          <w:color w:val="auto"/>
          <w:sz w:val="28"/>
          <w:szCs w:val="28"/>
        </w:rPr>
        <w:t>Б</w:t>
      </w:r>
      <w:r w:rsidR="002679F5" w:rsidRPr="00E87CD9">
        <w:rPr>
          <w:rFonts w:eastAsia="BlinkMacSystemFont"/>
          <w:color w:val="auto"/>
          <w:sz w:val="28"/>
          <w:szCs w:val="28"/>
        </w:rPr>
        <w:t xml:space="preserve">елая </w:t>
      </w:r>
      <w:r w:rsidR="002679F5" w:rsidRPr="00E87CD9">
        <w:rPr>
          <w:color w:val="auto"/>
          <w:sz w:val="28"/>
          <w:szCs w:val="28"/>
          <w:shd w:val="clear" w:color="auto" w:fill="FFFFFF"/>
          <w:lang w:bidi="ru-RU"/>
        </w:rPr>
        <w:t>з співавт., 2006</w:t>
      </w:r>
      <w:r w:rsidRPr="00E87CD9">
        <w:rPr>
          <w:color w:val="auto"/>
          <w:sz w:val="28"/>
          <w:szCs w:val="28"/>
        </w:rPr>
        <w:t>).</w:t>
      </w:r>
    </w:p>
    <w:p w:rsidR="00417DC7" w:rsidRPr="00E87CD9" w:rsidRDefault="00417DC7" w:rsidP="00417DC7">
      <w:pPr>
        <w:ind w:firstLine="567"/>
        <w:jc w:val="both"/>
        <w:rPr>
          <w:color w:val="auto"/>
          <w:sz w:val="28"/>
          <w:szCs w:val="28"/>
        </w:rPr>
      </w:pPr>
      <w:r w:rsidRPr="00E87CD9">
        <w:rPr>
          <w:color w:val="auto"/>
          <w:sz w:val="28"/>
          <w:szCs w:val="28"/>
          <w:shd w:val="clear" w:color="auto" w:fill="FFFFFF"/>
        </w:rPr>
        <w:t>Неопіо</w:t>
      </w:r>
      <w:r w:rsidR="00DE2E88" w:rsidRPr="00E87CD9">
        <w:rPr>
          <w:color w:val="auto"/>
          <w:sz w:val="28"/>
          <w:szCs w:val="28"/>
          <w:shd w:val="clear" w:color="auto" w:fill="FFFFFF"/>
        </w:rPr>
        <w:t>ї</w:t>
      </w:r>
      <w:r w:rsidRPr="00E87CD9">
        <w:rPr>
          <w:color w:val="auto"/>
          <w:sz w:val="28"/>
          <w:szCs w:val="28"/>
          <w:shd w:val="clear" w:color="auto" w:fill="FFFFFF"/>
        </w:rPr>
        <w:t xml:space="preserve">дні аналгетики, а особливо, нестероїдні протизапальні засоби (НПЗЗ), що найчастіше використовуються для усунення больового синдрому при ОА, можуть прискорити ураження суглобів при ОА шляхом посилення синтезу прозапальних цитокінів або інгібуючи синтез протеогліканів хряща </w:t>
      </w:r>
      <w:r w:rsidRPr="00E87CD9">
        <w:rPr>
          <w:color w:val="auto"/>
          <w:sz w:val="28"/>
          <w:szCs w:val="28"/>
        </w:rPr>
        <w:t>(</w:t>
      </w:r>
      <w:r w:rsidR="00097ABA" w:rsidRPr="00E87CD9">
        <w:rPr>
          <w:color w:val="auto"/>
          <w:sz w:val="28"/>
          <w:szCs w:val="28"/>
          <w:shd w:val="clear" w:color="auto" w:fill="FFFFFF"/>
          <w:lang w:bidi="ru-RU"/>
        </w:rPr>
        <w:t xml:space="preserve">M.Bianchi et al., 2007; Y. E. Henrotin et al., 1999; </w:t>
      </w:r>
      <w:r w:rsidRPr="00E87CD9">
        <w:rPr>
          <w:color w:val="auto"/>
          <w:sz w:val="28"/>
          <w:szCs w:val="28"/>
          <w:lang w:bidi="ru-RU"/>
        </w:rPr>
        <w:t xml:space="preserve">K. D.Rainsford </w:t>
      </w:r>
      <w:r w:rsidRPr="00E87CD9">
        <w:rPr>
          <w:color w:val="auto"/>
          <w:sz w:val="28"/>
          <w:szCs w:val="28"/>
          <w:shd w:val="clear" w:color="auto" w:fill="FFFFFF"/>
          <w:lang w:bidi="ru-RU"/>
        </w:rPr>
        <w:t>et al., 1997; І.А. Зупанець з співавт., 2002)</w:t>
      </w:r>
      <w:r w:rsidRPr="00E87CD9">
        <w:rPr>
          <w:color w:val="auto"/>
          <w:sz w:val="28"/>
          <w:szCs w:val="28"/>
          <w:shd w:val="clear" w:color="auto" w:fill="FFFFFF"/>
        </w:rPr>
        <w:t>. Проте питання впливу аналгетичної терапії на стан кісткової та хрящової тканин при ГІТ та їхній вплив на рівень біохімічних маркерів при гіпофункції ЩЗ досліджено недостатньо</w:t>
      </w:r>
      <w:r w:rsidRPr="00E87CD9">
        <w:rPr>
          <w:color w:val="auto"/>
          <w:sz w:val="28"/>
          <w:szCs w:val="28"/>
        </w:rPr>
        <w:t>.</w:t>
      </w:r>
    </w:p>
    <w:p w:rsidR="00417DC7" w:rsidRPr="00E87CD9" w:rsidRDefault="00417DC7" w:rsidP="00984367">
      <w:pPr>
        <w:ind w:firstLine="567"/>
        <w:jc w:val="both"/>
        <w:rPr>
          <w:color w:val="auto"/>
          <w:sz w:val="28"/>
          <w:szCs w:val="28"/>
        </w:rPr>
      </w:pPr>
      <w:r w:rsidRPr="00E87CD9">
        <w:rPr>
          <w:color w:val="auto"/>
          <w:sz w:val="28"/>
          <w:szCs w:val="28"/>
        </w:rPr>
        <w:t xml:space="preserve">Відомо, що аналгетики можуть впливати на гормональну активність ЩЗ через безпосередній вплив на синтез та </w:t>
      </w:r>
      <w:r w:rsidRPr="00E87CD9">
        <w:rPr>
          <w:color w:val="auto"/>
          <w:kern w:val="28"/>
          <w:sz w:val="28"/>
          <w:szCs w:val="28"/>
        </w:rPr>
        <w:t xml:space="preserve">виділення гормонів або їх метаболізм, кліренс та поглинання тканинами </w:t>
      </w:r>
      <w:r w:rsidRPr="00E87CD9">
        <w:rPr>
          <w:color w:val="auto"/>
          <w:sz w:val="28"/>
          <w:szCs w:val="28"/>
        </w:rPr>
        <w:t>(</w:t>
      </w:r>
      <w:r w:rsidR="00D92110" w:rsidRPr="00E87CD9">
        <w:rPr>
          <w:color w:val="auto"/>
          <w:sz w:val="28"/>
          <w:szCs w:val="28"/>
        </w:rPr>
        <w:t xml:space="preserve">D. L. Panciera </w:t>
      </w:r>
      <w:r w:rsidR="00D92110" w:rsidRPr="00E87CD9">
        <w:rPr>
          <w:rFonts w:eastAsiaTheme="minorHAnsi"/>
          <w:color w:val="auto"/>
          <w:sz w:val="28"/>
          <w:szCs w:val="28"/>
        </w:rPr>
        <w:t xml:space="preserve">et al., </w:t>
      </w:r>
      <w:r w:rsidR="00D92110" w:rsidRPr="00E87CD9">
        <w:rPr>
          <w:color w:val="auto"/>
          <w:sz w:val="28"/>
          <w:szCs w:val="28"/>
        </w:rPr>
        <w:t xml:space="preserve">2006; </w:t>
      </w:r>
      <w:r w:rsidRPr="00E87CD9">
        <w:rPr>
          <w:rFonts w:eastAsiaTheme="minorHAnsi"/>
          <w:color w:val="auto"/>
          <w:sz w:val="28"/>
          <w:szCs w:val="28"/>
        </w:rPr>
        <w:t xml:space="preserve">F. Sauvé et al., 2003; </w:t>
      </w:r>
      <w:r w:rsidR="00D92110" w:rsidRPr="00E87CD9">
        <w:rPr>
          <w:color w:val="auto"/>
          <w:sz w:val="28"/>
          <w:szCs w:val="28"/>
          <w:shd w:val="clear" w:color="auto" w:fill="FFFFFF"/>
        </w:rPr>
        <w:t>C. F. Lim</w:t>
      </w:r>
      <w:r w:rsidR="00D92110" w:rsidRPr="00E87CD9">
        <w:rPr>
          <w:rFonts w:eastAsiaTheme="minorHAnsi"/>
          <w:color w:val="auto"/>
          <w:sz w:val="28"/>
          <w:szCs w:val="28"/>
        </w:rPr>
        <w:t xml:space="preserve">et </w:t>
      </w:r>
      <w:r w:rsidR="00A270C1" w:rsidRPr="00E87CD9">
        <w:rPr>
          <w:rFonts w:eastAsiaTheme="minorHAnsi"/>
          <w:color w:val="auto"/>
          <w:sz w:val="28"/>
          <w:szCs w:val="28"/>
        </w:rPr>
        <w:t xml:space="preserve">et </w:t>
      </w:r>
      <w:r w:rsidR="00D92110" w:rsidRPr="00E87CD9">
        <w:rPr>
          <w:rFonts w:eastAsiaTheme="minorHAnsi"/>
          <w:color w:val="auto"/>
          <w:sz w:val="28"/>
          <w:szCs w:val="28"/>
        </w:rPr>
        <w:t xml:space="preserve">al., 1996; </w:t>
      </w:r>
      <w:r w:rsidR="00D92110" w:rsidRPr="00E87CD9">
        <w:rPr>
          <w:color w:val="auto"/>
          <w:sz w:val="28"/>
          <w:szCs w:val="28"/>
          <w:shd w:val="clear" w:color="auto" w:fill="FFFFFF"/>
        </w:rPr>
        <w:t>S. I. Handa, S. Freestone, 1990</w:t>
      </w:r>
      <w:r w:rsidRPr="00E87CD9">
        <w:rPr>
          <w:color w:val="auto"/>
          <w:sz w:val="28"/>
          <w:szCs w:val="28"/>
        </w:rPr>
        <w:t xml:space="preserve">). Проте, важливим </w:t>
      </w:r>
      <w:r w:rsidR="00984367" w:rsidRPr="00E87CD9">
        <w:rPr>
          <w:color w:val="auto"/>
          <w:sz w:val="28"/>
          <w:szCs w:val="28"/>
        </w:rPr>
        <w:t xml:space="preserve">та недослідженим </w:t>
      </w:r>
      <w:r w:rsidRPr="00E87CD9">
        <w:rPr>
          <w:color w:val="auto"/>
          <w:sz w:val="28"/>
          <w:szCs w:val="28"/>
        </w:rPr>
        <w:t>питанням є вивчення процесів взаємодії аналгетичних засобів з препаратом замісної гормональної терапії L-тироксином, їх</w:t>
      </w:r>
      <w:r w:rsidR="00984367" w:rsidRPr="00E87CD9">
        <w:rPr>
          <w:color w:val="auto"/>
          <w:sz w:val="28"/>
          <w:szCs w:val="28"/>
        </w:rPr>
        <w:t>ньої</w:t>
      </w:r>
      <w:r w:rsidRPr="00E87CD9">
        <w:rPr>
          <w:color w:val="auto"/>
          <w:sz w:val="28"/>
          <w:szCs w:val="28"/>
        </w:rPr>
        <w:t xml:space="preserve"> здатн</w:t>
      </w:r>
      <w:r w:rsidR="00984367" w:rsidRPr="00E87CD9">
        <w:rPr>
          <w:color w:val="auto"/>
          <w:sz w:val="28"/>
          <w:szCs w:val="28"/>
        </w:rPr>
        <w:t>ості</w:t>
      </w:r>
      <w:r w:rsidRPr="00E87CD9">
        <w:rPr>
          <w:color w:val="auto"/>
          <w:sz w:val="28"/>
          <w:szCs w:val="28"/>
        </w:rPr>
        <w:t xml:space="preserve"> впливат</w:t>
      </w:r>
      <w:r w:rsidR="00984367" w:rsidRPr="00E87CD9">
        <w:rPr>
          <w:color w:val="auto"/>
          <w:sz w:val="28"/>
          <w:szCs w:val="28"/>
        </w:rPr>
        <w:t>и на біль різної інтенсивності.</w:t>
      </w:r>
    </w:p>
    <w:p w:rsidR="00417DC7" w:rsidRPr="00E87CD9" w:rsidRDefault="00417DC7" w:rsidP="00984367">
      <w:pPr>
        <w:ind w:firstLine="567"/>
        <w:jc w:val="both"/>
        <w:rPr>
          <w:color w:val="auto"/>
          <w:sz w:val="28"/>
          <w:szCs w:val="28"/>
        </w:rPr>
      </w:pPr>
      <w:r w:rsidRPr="00E87CD9">
        <w:rPr>
          <w:color w:val="auto"/>
          <w:sz w:val="28"/>
          <w:szCs w:val="28"/>
        </w:rPr>
        <w:t>Вважається, що призначення замісної гормональної терапії ГІТ призводить до відновлення інтенсивності метаболічних процесів, проте дослідження питання впливу гормонотерапі</w:t>
      </w:r>
      <w:r w:rsidR="00984367" w:rsidRPr="00E87CD9">
        <w:rPr>
          <w:color w:val="auto"/>
          <w:sz w:val="28"/>
          <w:szCs w:val="28"/>
        </w:rPr>
        <w:t>ї на структуру гіалінового хряща</w:t>
      </w:r>
      <w:r w:rsidRPr="00E87CD9">
        <w:rPr>
          <w:color w:val="auto"/>
          <w:sz w:val="28"/>
          <w:szCs w:val="28"/>
        </w:rPr>
        <w:t xml:space="preserve"> не проводились (</w:t>
      </w:r>
      <w:r w:rsidR="001F43DC" w:rsidRPr="00E87CD9">
        <w:rPr>
          <w:color w:val="auto"/>
          <w:sz w:val="28"/>
          <w:szCs w:val="28"/>
          <w:shd w:val="clear" w:color="auto" w:fill="FFFFFF"/>
        </w:rPr>
        <w:t>E. Tsourdi</w:t>
      </w:r>
      <w:r w:rsidR="001F43DC" w:rsidRPr="00E87CD9">
        <w:rPr>
          <w:rFonts w:eastAsiaTheme="minorHAnsi"/>
          <w:color w:val="auto"/>
          <w:sz w:val="28"/>
          <w:szCs w:val="28"/>
        </w:rPr>
        <w:t xml:space="preserve">et al., </w:t>
      </w:r>
      <w:r w:rsidR="001F43DC" w:rsidRPr="00E87CD9">
        <w:rPr>
          <w:color w:val="auto"/>
          <w:sz w:val="28"/>
          <w:szCs w:val="28"/>
        </w:rPr>
        <w:t>2018</w:t>
      </w:r>
      <w:r w:rsidR="001F43DC" w:rsidRPr="00E87CD9">
        <w:rPr>
          <w:color w:val="auto"/>
          <w:sz w:val="28"/>
          <w:szCs w:val="28"/>
          <w:shd w:val="clear" w:color="auto" w:fill="FFFFFF"/>
        </w:rPr>
        <w:t xml:space="preserve">; G. R. Williams, 2013; </w:t>
      </w:r>
      <w:r w:rsidR="001F43DC" w:rsidRPr="00E87CD9">
        <w:rPr>
          <w:bCs/>
          <w:color w:val="auto"/>
          <w:sz w:val="28"/>
          <w:szCs w:val="28"/>
        </w:rPr>
        <w:t>Л. О. Волошина, 2018</w:t>
      </w:r>
      <w:r w:rsidRPr="00E87CD9">
        <w:rPr>
          <w:color w:val="auto"/>
          <w:sz w:val="28"/>
          <w:szCs w:val="28"/>
        </w:rPr>
        <w:t>). Також залиша</w:t>
      </w:r>
      <w:r w:rsidR="00984367" w:rsidRPr="00E87CD9">
        <w:rPr>
          <w:color w:val="auto"/>
          <w:sz w:val="28"/>
          <w:szCs w:val="28"/>
        </w:rPr>
        <w:t>ю</w:t>
      </w:r>
      <w:r w:rsidRPr="00E87CD9">
        <w:rPr>
          <w:color w:val="auto"/>
          <w:sz w:val="28"/>
          <w:szCs w:val="28"/>
        </w:rPr>
        <w:t>ться відкритим</w:t>
      </w:r>
      <w:r w:rsidR="00984367" w:rsidRPr="00E87CD9">
        <w:rPr>
          <w:color w:val="auto"/>
          <w:sz w:val="28"/>
          <w:szCs w:val="28"/>
        </w:rPr>
        <w:t>и</w:t>
      </w:r>
      <w:r w:rsidRPr="00E87CD9">
        <w:rPr>
          <w:color w:val="auto"/>
          <w:sz w:val="28"/>
          <w:szCs w:val="28"/>
        </w:rPr>
        <w:t xml:space="preserve"> питання профілактики дегенеративно-дистрофічних змін у суглобах </w:t>
      </w:r>
      <w:r w:rsidR="00984367" w:rsidRPr="00E87CD9">
        <w:rPr>
          <w:color w:val="auto"/>
          <w:sz w:val="28"/>
          <w:szCs w:val="28"/>
        </w:rPr>
        <w:t>за</w:t>
      </w:r>
      <w:r w:rsidRPr="00E87CD9">
        <w:rPr>
          <w:color w:val="auto"/>
          <w:sz w:val="28"/>
          <w:szCs w:val="28"/>
        </w:rPr>
        <w:t xml:space="preserve"> ГІТ</w:t>
      </w:r>
      <w:r w:rsidR="006E4011" w:rsidRPr="00E87CD9">
        <w:rPr>
          <w:color w:val="auto"/>
          <w:sz w:val="28"/>
          <w:szCs w:val="28"/>
        </w:rPr>
        <w:t xml:space="preserve">і </w:t>
      </w:r>
      <w:r w:rsidR="00984367" w:rsidRPr="00E87CD9">
        <w:rPr>
          <w:color w:val="auto"/>
          <w:sz w:val="28"/>
          <w:szCs w:val="28"/>
        </w:rPr>
        <w:t xml:space="preserve">вивчення </w:t>
      </w:r>
      <w:r w:rsidRPr="00E87CD9">
        <w:rPr>
          <w:color w:val="auto"/>
          <w:sz w:val="28"/>
          <w:szCs w:val="28"/>
        </w:rPr>
        <w:t xml:space="preserve">лікарської взаємодії </w:t>
      </w:r>
      <w:r w:rsidR="006E4011" w:rsidRPr="00E87CD9">
        <w:rPr>
          <w:color w:val="auto"/>
          <w:sz w:val="28"/>
          <w:szCs w:val="28"/>
        </w:rPr>
        <w:t xml:space="preserve">з метою пропозицій щодо </w:t>
      </w:r>
      <w:r w:rsidRPr="00E87CD9">
        <w:rPr>
          <w:color w:val="auto"/>
          <w:sz w:val="28"/>
          <w:szCs w:val="28"/>
        </w:rPr>
        <w:t>ефективн</w:t>
      </w:r>
      <w:r w:rsidR="006E4011" w:rsidRPr="00E87CD9">
        <w:rPr>
          <w:color w:val="auto"/>
          <w:sz w:val="28"/>
          <w:szCs w:val="28"/>
        </w:rPr>
        <w:t>ого та безпечного комбінованого застосування препаратів різних фармакотерапевтичних груп</w:t>
      </w:r>
      <w:r w:rsidRPr="00E87CD9">
        <w:rPr>
          <w:color w:val="auto"/>
          <w:sz w:val="28"/>
          <w:szCs w:val="28"/>
        </w:rPr>
        <w:t>.</w:t>
      </w:r>
    </w:p>
    <w:p w:rsidR="00417DC7" w:rsidRPr="00E87CD9" w:rsidRDefault="00417DC7" w:rsidP="006E4011">
      <w:pPr>
        <w:pStyle w:val="a8"/>
        <w:ind w:left="0" w:firstLine="567"/>
        <w:rPr>
          <w:color w:val="auto"/>
        </w:rPr>
      </w:pPr>
      <w:r w:rsidRPr="00E87CD9">
        <w:rPr>
          <w:color w:val="auto"/>
        </w:rPr>
        <w:t xml:space="preserve">Вищезазначене вказує на існування актуальної сучасної проблеми медицини, яка пов’язана з пошуком нових підходів до фармакотерапії </w:t>
      </w:r>
      <w:r w:rsidRPr="00E87CD9">
        <w:rPr>
          <w:rStyle w:val="highlight"/>
          <w:color w:val="auto"/>
        </w:rPr>
        <w:t xml:space="preserve">больового синдрому та медикаментозного захисту суглобів у хворих на </w:t>
      </w:r>
      <w:r w:rsidR="004245AA" w:rsidRPr="00E87CD9">
        <w:rPr>
          <w:rStyle w:val="highlight"/>
          <w:color w:val="auto"/>
        </w:rPr>
        <w:t>ОА</w:t>
      </w:r>
      <w:r w:rsidRPr="00E87CD9">
        <w:rPr>
          <w:rStyle w:val="highlight"/>
          <w:color w:val="auto"/>
        </w:rPr>
        <w:t xml:space="preserve"> та </w:t>
      </w:r>
      <w:r w:rsidR="004245AA" w:rsidRPr="00E87CD9">
        <w:rPr>
          <w:rStyle w:val="highlight"/>
          <w:color w:val="auto"/>
        </w:rPr>
        <w:t xml:space="preserve">ГІТ </w:t>
      </w:r>
      <w:r w:rsidRPr="00E87CD9">
        <w:rPr>
          <w:rStyle w:val="highlight"/>
          <w:color w:val="auto"/>
        </w:rPr>
        <w:t>шляхом визначення ефективності використання знеболю</w:t>
      </w:r>
      <w:r w:rsidR="006E4011" w:rsidRPr="00E87CD9">
        <w:rPr>
          <w:rStyle w:val="highlight"/>
          <w:color w:val="auto"/>
        </w:rPr>
        <w:t>вальн</w:t>
      </w:r>
      <w:r w:rsidRPr="00E87CD9">
        <w:rPr>
          <w:rStyle w:val="highlight"/>
          <w:color w:val="auto"/>
        </w:rPr>
        <w:t xml:space="preserve">их та хондропротекторних засобів за умов замісної гормональної терапії гіпотиреозу, що може слугувати теоретичними передумовами оптимізації лікування </w:t>
      </w:r>
      <w:r w:rsidR="006E4011" w:rsidRPr="00E87CD9">
        <w:rPr>
          <w:rStyle w:val="highlight"/>
          <w:color w:val="auto"/>
        </w:rPr>
        <w:lastRenderedPageBreak/>
        <w:t>коморбідного стану. В</w:t>
      </w:r>
      <w:r w:rsidRPr="00E87CD9">
        <w:rPr>
          <w:rStyle w:val="highlight"/>
          <w:color w:val="auto"/>
        </w:rPr>
        <w:t xml:space="preserve">ирішенню </w:t>
      </w:r>
      <w:r w:rsidR="006E4011" w:rsidRPr="00E87CD9">
        <w:rPr>
          <w:rStyle w:val="highlight"/>
          <w:color w:val="auto"/>
        </w:rPr>
        <w:t xml:space="preserve">саме </w:t>
      </w:r>
      <w:r w:rsidRPr="00E87CD9">
        <w:rPr>
          <w:rStyle w:val="highlight"/>
          <w:color w:val="auto"/>
        </w:rPr>
        <w:t>цієї проблеми присвячене дане дисертаційне дослідження.</w:t>
      </w:r>
    </w:p>
    <w:p w:rsidR="00417DC7" w:rsidRPr="00E87CD9" w:rsidRDefault="00417DC7" w:rsidP="00417DC7">
      <w:pPr>
        <w:pStyle w:val="a8"/>
        <w:ind w:left="0" w:firstLine="709"/>
        <w:rPr>
          <w:color w:val="auto"/>
        </w:rPr>
      </w:pPr>
      <w:r w:rsidRPr="00E87CD9">
        <w:rPr>
          <w:b/>
          <w:color w:val="auto"/>
        </w:rPr>
        <w:t xml:space="preserve">Зв'язок роботи з науковими програмами, планами, темами. </w:t>
      </w:r>
      <w:r w:rsidRPr="00E87CD9">
        <w:rPr>
          <w:color w:val="auto"/>
        </w:rPr>
        <w:t xml:space="preserve">Дисертаційна робота виконана згідно планової науково-дослідної роботи кафедри фармакології та клінічної фармакології ДЗ “ДМА МОЗ України” та є фрагментами НДР </w:t>
      </w:r>
      <w:r w:rsidRPr="00E87CD9">
        <w:rPr>
          <w:color w:val="auto"/>
          <w:spacing w:val="6"/>
          <w:kern w:val="2"/>
          <w:lang w:bidi="uk-UA"/>
        </w:rPr>
        <w:t xml:space="preserve">«Експериментально-теоретичне обґрунтування особливостей знеболювальної та нейропротекторної медикаментозної терапії в умовах моделюємої патології» (№ держреєстрації 0104U006269) </w:t>
      </w:r>
      <w:r w:rsidRPr="00E87CD9">
        <w:rPr>
          <w:color w:val="auto"/>
        </w:rPr>
        <w:t xml:space="preserve">(термін виконання: 2014-2018 рр.) </w:t>
      </w:r>
      <w:r w:rsidRPr="00E87CD9">
        <w:rPr>
          <w:color w:val="auto"/>
          <w:spacing w:val="6"/>
          <w:kern w:val="2"/>
          <w:lang w:bidi="uk-UA"/>
        </w:rPr>
        <w:t xml:space="preserve">та </w:t>
      </w:r>
      <w:r w:rsidRPr="00E87CD9">
        <w:rPr>
          <w:color w:val="auto"/>
        </w:rPr>
        <w:t>«</w:t>
      </w:r>
      <w:r w:rsidRPr="00E87CD9">
        <w:rPr>
          <w:color w:val="auto"/>
          <w:lang w:eastAsia="uk-UA"/>
        </w:rPr>
        <w:t>Фармакологічний аналіз органо- та ендотеліопротекції за умов експериментальних патологічних станів</w:t>
      </w:r>
      <w:r w:rsidRPr="00E87CD9">
        <w:rPr>
          <w:color w:val="auto"/>
        </w:rPr>
        <w:t>» (№ держреєстрації 0118U006631) (термін виконання: 2018-2022 рр.). Дисертант є відповідальним виконавцем зазначених тем.</w:t>
      </w:r>
    </w:p>
    <w:p w:rsidR="00E670D7" w:rsidRPr="00E87CD9" w:rsidRDefault="00417DC7" w:rsidP="00E670D7">
      <w:pPr>
        <w:pStyle w:val="a8"/>
        <w:ind w:left="0" w:firstLine="567"/>
        <w:rPr>
          <w:color w:val="auto"/>
        </w:rPr>
      </w:pPr>
      <w:r w:rsidRPr="00E87CD9">
        <w:rPr>
          <w:b/>
          <w:bCs/>
          <w:color w:val="auto"/>
        </w:rPr>
        <w:t>Мета дослідження.</w:t>
      </w:r>
      <w:r w:rsidR="00297DC6" w:rsidRPr="00E87CD9">
        <w:rPr>
          <w:color w:val="auto"/>
        </w:rPr>
        <w:t>Провести фармакологічний аналіз ефективності знеболення та хондропротекції для експериментального обґрунтування оптимізованого застосування аналгетичних та хондропротекторних засобів за умов остеоартрозу на тлі гіпотиреозу</w:t>
      </w:r>
      <w:r w:rsidR="00E670D7" w:rsidRPr="00E87CD9">
        <w:rPr>
          <w:color w:val="auto"/>
        </w:rPr>
        <w:t>.</w:t>
      </w:r>
    </w:p>
    <w:p w:rsidR="00417DC7" w:rsidRPr="00E87CD9" w:rsidRDefault="00417DC7" w:rsidP="00E670D7">
      <w:pPr>
        <w:pStyle w:val="a8"/>
        <w:ind w:left="0" w:firstLine="567"/>
        <w:rPr>
          <w:color w:val="auto"/>
        </w:rPr>
      </w:pPr>
      <w:r w:rsidRPr="00E87CD9">
        <w:rPr>
          <w:b/>
          <w:bCs/>
          <w:color w:val="auto"/>
        </w:rPr>
        <w:t xml:space="preserve">Завдання дослідження. </w:t>
      </w:r>
      <w:r w:rsidRPr="00E87CD9">
        <w:rPr>
          <w:color w:val="auto"/>
        </w:rPr>
        <w:t>У відповідності до мети визначено такі основні завдання дослідження:</w:t>
      </w:r>
    </w:p>
    <w:p w:rsidR="00417DC7" w:rsidRPr="00E87CD9" w:rsidRDefault="00417DC7" w:rsidP="00417DC7">
      <w:pPr>
        <w:pStyle w:val="western"/>
        <w:spacing w:before="0" w:after="0" w:line="240" w:lineRule="auto"/>
        <w:ind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1. </w:t>
      </w:r>
      <w:r w:rsidR="00E670D7" w:rsidRPr="00E87CD9">
        <w:rPr>
          <w:rFonts w:ascii="Times New Roman" w:hAnsi="Times New Roman" w:cs="Times New Roman"/>
          <w:color w:val="auto"/>
          <w:sz w:val="28"/>
          <w:szCs w:val="28"/>
        </w:rPr>
        <w:t xml:space="preserve">Оцінити ступінь больового та запального синдромів за умов моделювання </w:t>
      </w:r>
      <w:r w:rsidR="00E10ED1" w:rsidRPr="00E87CD9">
        <w:rPr>
          <w:rFonts w:ascii="Times New Roman" w:hAnsi="Times New Roman" w:cs="Times New Roman"/>
          <w:color w:val="auto"/>
          <w:sz w:val="28"/>
          <w:szCs w:val="28"/>
        </w:rPr>
        <w:t>остеоартрозу</w:t>
      </w:r>
      <w:r w:rsidR="00E670D7" w:rsidRPr="00E87CD9">
        <w:rPr>
          <w:rFonts w:ascii="Times New Roman" w:hAnsi="Times New Roman" w:cs="Times New Roman"/>
          <w:color w:val="auto"/>
          <w:sz w:val="28"/>
          <w:szCs w:val="28"/>
        </w:rPr>
        <w:t xml:space="preserve">, </w:t>
      </w:r>
      <w:r w:rsidR="00E10ED1" w:rsidRPr="00E87CD9">
        <w:rPr>
          <w:rFonts w:ascii="Times New Roman" w:hAnsi="Times New Roman" w:cs="Times New Roman"/>
          <w:color w:val="auto"/>
          <w:sz w:val="28"/>
          <w:szCs w:val="28"/>
        </w:rPr>
        <w:t>гіпотиреозу</w:t>
      </w:r>
      <w:r w:rsidR="00E670D7" w:rsidRPr="00E87CD9">
        <w:rPr>
          <w:rFonts w:ascii="Times New Roman" w:hAnsi="Times New Roman" w:cs="Times New Roman"/>
          <w:color w:val="auto"/>
          <w:sz w:val="28"/>
          <w:szCs w:val="28"/>
        </w:rPr>
        <w:t xml:space="preserve"> та за їхнього поєднання у щурів. </w:t>
      </w:r>
      <w:r w:rsidR="006B5C97" w:rsidRPr="00E87CD9">
        <w:rPr>
          <w:rFonts w:ascii="Times New Roman" w:hAnsi="Times New Roman" w:cs="Times New Roman"/>
          <w:color w:val="auto"/>
          <w:sz w:val="28"/>
          <w:szCs w:val="28"/>
        </w:rPr>
        <w:t>Вивч</w:t>
      </w:r>
      <w:r w:rsidRPr="00E87CD9">
        <w:rPr>
          <w:rFonts w:ascii="Times New Roman" w:hAnsi="Times New Roman" w:cs="Times New Roman"/>
          <w:color w:val="auto"/>
          <w:sz w:val="28"/>
          <w:szCs w:val="28"/>
        </w:rPr>
        <w:t xml:space="preserve">ити спектр аналгетичної </w:t>
      </w:r>
      <w:r w:rsidR="00E670D7" w:rsidRPr="00E87CD9">
        <w:rPr>
          <w:rFonts w:ascii="Times New Roman" w:hAnsi="Times New Roman" w:cs="Times New Roman"/>
          <w:color w:val="auto"/>
          <w:sz w:val="28"/>
          <w:szCs w:val="28"/>
        </w:rPr>
        <w:t xml:space="preserve">та хондропротекторної активності </w:t>
      </w:r>
      <w:r w:rsidRPr="00E87CD9">
        <w:rPr>
          <w:rFonts w:ascii="Times New Roman" w:hAnsi="Times New Roman" w:cs="Times New Roman"/>
          <w:color w:val="auto"/>
          <w:sz w:val="28"/>
          <w:szCs w:val="28"/>
        </w:rPr>
        <w:t>НПЗЗ</w:t>
      </w:r>
      <w:r w:rsidR="00E670D7" w:rsidRPr="00E87CD9">
        <w:rPr>
          <w:rFonts w:ascii="Times New Roman" w:hAnsi="Times New Roman" w:cs="Times New Roman"/>
          <w:color w:val="auto"/>
          <w:sz w:val="28"/>
          <w:szCs w:val="28"/>
        </w:rPr>
        <w:t>,</w:t>
      </w:r>
      <w:r w:rsidRPr="00E87CD9">
        <w:rPr>
          <w:rFonts w:ascii="Times New Roman" w:hAnsi="Times New Roman" w:cs="Times New Roman"/>
          <w:color w:val="auto"/>
          <w:sz w:val="28"/>
          <w:szCs w:val="28"/>
        </w:rPr>
        <w:t xml:space="preserve"> парацетамолу </w:t>
      </w:r>
      <w:r w:rsidR="00E670D7" w:rsidRPr="00E87CD9">
        <w:rPr>
          <w:rFonts w:ascii="Times New Roman" w:hAnsi="Times New Roman" w:cs="Times New Roman"/>
          <w:color w:val="auto"/>
          <w:sz w:val="28"/>
          <w:szCs w:val="28"/>
        </w:rPr>
        <w:t xml:space="preserve">та L-тироксину </w:t>
      </w:r>
      <w:r w:rsidRPr="00E87CD9">
        <w:rPr>
          <w:rFonts w:ascii="Times New Roman" w:hAnsi="Times New Roman" w:cs="Times New Roman"/>
          <w:color w:val="auto"/>
          <w:sz w:val="28"/>
          <w:szCs w:val="28"/>
        </w:rPr>
        <w:t xml:space="preserve">за умов </w:t>
      </w:r>
      <w:r w:rsidR="00E10ED1" w:rsidRPr="00E87CD9">
        <w:rPr>
          <w:rFonts w:ascii="Times New Roman" w:hAnsi="Times New Roman" w:cs="Times New Roman"/>
          <w:color w:val="auto"/>
          <w:sz w:val="28"/>
          <w:szCs w:val="28"/>
        </w:rPr>
        <w:t xml:space="preserve">зазначених </w:t>
      </w:r>
      <w:r w:rsidRPr="00E87CD9">
        <w:rPr>
          <w:rFonts w:ascii="Times New Roman" w:hAnsi="Times New Roman" w:cs="Times New Roman"/>
          <w:color w:val="auto"/>
          <w:sz w:val="28"/>
          <w:szCs w:val="28"/>
        </w:rPr>
        <w:t>патологічних станів.</w:t>
      </w:r>
    </w:p>
    <w:p w:rsidR="00417DC7" w:rsidRPr="00E87CD9" w:rsidRDefault="00417DC7" w:rsidP="00417DC7">
      <w:pPr>
        <w:pStyle w:val="western"/>
        <w:spacing w:before="0" w:after="0" w:line="240" w:lineRule="auto"/>
        <w:ind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2. </w:t>
      </w:r>
      <w:r w:rsidR="00E10ED1" w:rsidRPr="00E87CD9">
        <w:rPr>
          <w:rFonts w:ascii="Times New Roman" w:hAnsi="Times New Roman" w:cs="Times New Roman"/>
          <w:color w:val="auto"/>
          <w:sz w:val="28"/>
          <w:szCs w:val="28"/>
        </w:rPr>
        <w:t>Дослідити протизапальну активність НПЗЗ та парацетамолу за рівнем біохімічних показників (інтерлейкіни, металопротеїнази, фактор некрозу пухлин, С-реактивний протеїн, кісткова лужна фосфатаза) за умов експериментального остеоартрозу та гіпотиреозу.</w:t>
      </w:r>
    </w:p>
    <w:p w:rsidR="00417DC7" w:rsidRPr="00E87CD9" w:rsidRDefault="00417DC7" w:rsidP="00E10ED1">
      <w:pPr>
        <w:pStyle w:val="western"/>
        <w:spacing w:before="0" w:after="0" w:line="240" w:lineRule="auto"/>
        <w:ind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3. </w:t>
      </w:r>
      <w:r w:rsidR="00E10ED1" w:rsidRPr="00E87CD9">
        <w:rPr>
          <w:rFonts w:ascii="Times New Roman" w:hAnsi="Times New Roman" w:cs="Times New Roman"/>
          <w:color w:val="auto"/>
          <w:sz w:val="28"/>
          <w:szCs w:val="28"/>
        </w:rPr>
        <w:t>Встановити вплив НПЗЗ</w:t>
      </w:r>
      <w:r w:rsidR="00957634" w:rsidRPr="00E87CD9">
        <w:rPr>
          <w:rFonts w:ascii="Times New Roman" w:hAnsi="Times New Roman" w:cs="Times New Roman"/>
          <w:color w:val="auto"/>
          <w:sz w:val="28"/>
          <w:szCs w:val="28"/>
        </w:rPr>
        <w:t>,</w:t>
      </w:r>
      <w:r w:rsidR="00E10ED1" w:rsidRPr="00E87CD9">
        <w:rPr>
          <w:rFonts w:ascii="Times New Roman" w:hAnsi="Times New Roman" w:cs="Times New Roman"/>
          <w:color w:val="auto"/>
          <w:sz w:val="28"/>
          <w:szCs w:val="28"/>
        </w:rPr>
        <w:t xml:space="preserve"> парацетамолу </w:t>
      </w:r>
      <w:r w:rsidR="00957634" w:rsidRPr="00E87CD9">
        <w:rPr>
          <w:rFonts w:ascii="Times New Roman" w:hAnsi="Times New Roman" w:cs="Times New Roman"/>
          <w:color w:val="auto"/>
          <w:sz w:val="28"/>
          <w:szCs w:val="28"/>
        </w:rPr>
        <w:t xml:space="preserve">та L-тироксину </w:t>
      </w:r>
      <w:r w:rsidR="00E10ED1" w:rsidRPr="00E87CD9">
        <w:rPr>
          <w:rFonts w:ascii="Times New Roman" w:hAnsi="Times New Roman" w:cs="Times New Roman"/>
          <w:color w:val="auto"/>
          <w:sz w:val="28"/>
          <w:szCs w:val="28"/>
        </w:rPr>
        <w:t>на функціональний стан щитоподібної залози за гіпотиреозу</w:t>
      </w:r>
      <w:r w:rsidR="00957634" w:rsidRPr="00E87CD9">
        <w:rPr>
          <w:rFonts w:ascii="Times New Roman" w:hAnsi="Times New Roman" w:cs="Times New Roman"/>
          <w:color w:val="auto"/>
          <w:sz w:val="28"/>
          <w:szCs w:val="28"/>
        </w:rPr>
        <w:t>.</w:t>
      </w:r>
    </w:p>
    <w:p w:rsidR="00417DC7" w:rsidRPr="00E87CD9" w:rsidRDefault="00417DC7" w:rsidP="00417DC7">
      <w:pPr>
        <w:pStyle w:val="western"/>
        <w:spacing w:before="0" w:after="0" w:line="240" w:lineRule="auto"/>
        <w:ind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4. </w:t>
      </w:r>
      <w:r w:rsidR="00E10ED1" w:rsidRPr="00E87CD9">
        <w:rPr>
          <w:rFonts w:ascii="Times New Roman" w:hAnsi="Times New Roman" w:cs="Times New Roman"/>
          <w:color w:val="auto"/>
          <w:sz w:val="28"/>
          <w:szCs w:val="28"/>
        </w:rPr>
        <w:t>Вивчити вплив НПЗЗ та парацетамолу на руховий та психо-емоційний статус щурів у тесті «відкрите поле» на тлі больового синдрому, індукованого експериментальними остеоартрозом та гіпотиреозом.</w:t>
      </w:r>
    </w:p>
    <w:p w:rsidR="00417DC7" w:rsidRPr="00E87CD9" w:rsidRDefault="00417DC7" w:rsidP="00417DC7">
      <w:pPr>
        <w:pStyle w:val="western"/>
        <w:spacing w:before="0" w:after="0" w:line="240" w:lineRule="auto"/>
        <w:ind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5. </w:t>
      </w:r>
      <w:r w:rsidR="00D22D37" w:rsidRPr="00E87CD9">
        <w:rPr>
          <w:rFonts w:ascii="Times New Roman" w:hAnsi="Times New Roman" w:cs="Times New Roman"/>
          <w:color w:val="auto"/>
          <w:sz w:val="28"/>
          <w:szCs w:val="28"/>
        </w:rPr>
        <w:t>Обґрунтувати принципи ефективного застосування болетамуючої, протизапальної та хондропротекторної терапії за умов остеоартрозу та гіпотиреозу. За ефективністю протизапальних та хондропротекторних засобів визначити найбільш перспективні для комбінованого застосування на тлі коморбідної патології</w:t>
      </w:r>
      <w:r w:rsidRPr="00E87CD9">
        <w:rPr>
          <w:rFonts w:ascii="Times New Roman" w:hAnsi="Times New Roman" w:cs="Times New Roman"/>
          <w:color w:val="auto"/>
          <w:sz w:val="28"/>
          <w:szCs w:val="28"/>
        </w:rPr>
        <w:t>.</w:t>
      </w:r>
    </w:p>
    <w:p w:rsidR="00AC2A99" w:rsidRPr="00E87CD9" w:rsidRDefault="00417DC7" w:rsidP="00417DC7">
      <w:pPr>
        <w:pStyle w:val="a8"/>
        <w:ind w:left="0" w:firstLine="709"/>
        <w:rPr>
          <w:color w:val="auto"/>
        </w:rPr>
      </w:pPr>
      <w:r w:rsidRPr="00E87CD9">
        <w:rPr>
          <w:color w:val="auto"/>
        </w:rPr>
        <w:t xml:space="preserve">6. </w:t>
      </w:r>
      <w:r w:rsidR="00AC2A99" w:rsidRPr="00E87CD9">
        <w:rPr>
          <w:color w:val="auto"/>
        </w:rPr>
        <w:t xml:space="preserve">За </w:t>
      </w:r>
      <w:r w:rsidRPr="00E87CD9">
        <w:rPr>
          <w:color w:val="auto"/>
        </w:rPr>
        <w:t>аналіз</w:t>
      </w:r>
      <w:r w:rsidR="00AC2A99" w:rsidRPr="00E87CD9">
        <w:rPr>
          <w:color w:val="auto"/>
        </w:rPr>
        <w:t>ом</w:t>
      </w:r>
      <w:r w:rsidRPr="00E87CD9">
        <w:rPr>
          <w:color w:val="auto"/>
        </w:rPr>
        <w:t xml:space="preserve"> гістоморфологічних показників </w:t>
      </w:r>
      <w:r w:rsidR="00AC2A99" w:rsidRPr="00E87CD9">
        <w:rPr>
          <w:color w:val="auto"/>
        </w:rPr>
        <w:t xml:space="preserve">кісткової та </w:t>
      </w:r>
      <w:r w:rsidRPr="00E87CD9">
        <w:rPr>
          <w:color w:val="auto"/>
        </w:rPr>
        <w:t xml:space="preserve">хрящової тканин </w:t>
      </w:r>
      <w:r w:rsidR="00AC2A99" w:rsidRPr="00E87CD9">
        <w:rPr>
          <w:color w:val="auto"/>
        </w:rPr>
        <w:t xml:space="preserve">у </w:t>
      </w:r>
      <w:r w:rsidRPr="00E87CD9">
        <w:rPr>
          <w:color w:val="auto"/>
        </w:rPr>
        <w:t>щурів з остеоартрозом та гіпотиреозом</w:t>
      </w:r>
      <w:r w:rsidR="00AC2A99" w:rsidRPr="00E87CD9">
        <w:rPr>
          <w:color w:val="auto"/>
        </w:rPr>
        <w:t xml:space="preserve"> та за коригуючим впливом засобів терапії</w:t>
      </w:r>
      <w:r w:rsidRPr="00E87CD9">
        <w:rPr>
          <w:color w:val="auto"/>
        </w:rPr>
        <w:t xml:space="preserve"> визначити </w:t>
      </w:r>
      <w:r w:rsidR="00AC2A99" w:rsidRPr="00E87CD9">
        <w:rPr>
          <w:color w:val="auto"/>
        </w:rPr>
        <w:t>найбільш ефективні серед досліджуваних засобів для комбінованого застосування на тлі коморбідного стану.</w:t>
      </w:r>
    </w:p>
    <w:p w:rsidR="00417DC7" w:rsidRPr="00E87CD9" w:rsidRDefault="00417DC7" w:rsidP="00417DC7">
      <w:pPr>
        <w:pStyle w:val="a8"/>
        <w:ind w:left="0" w:firstLine="709"/>
        <w:rPr>
          <w:color w:val="auto"/>
        </w:rPr>
      </w:pPr>
      <w:r w:rsidRPr="00E87CD9">
        <w:rPr>
          <w:color w:val="auto"/>
        </w:rPr>
        <w:t xml:space="preserve">7. </w:t>
      </w:r>
      <w:r w:rsidR="00C46F19" w:rsidRPr="00E87CD9">
        <w:rPr>
          <w:color w:val="auto"/>
        </w:rPr>
        <w:t>Провести аналіз фізико-хімічної сумісності компонентів у найбільш ефективній композиції препаратів та запропонувати препарати для комбінованої фармакотерапії на тлі експерименталь</w:t>
      </w:r>
      <w:r w:rsidR="008F27BD" w:rsidRPr="00E87CD9">
        <w:rPr>
          <w:color w:val="auto"/>
        </w:rPr>
        <w:t>них остеоартрозу і гіпотиреозу.</w:t>
      </w:r>
    </w:p>
    <w:p w:rsidR="00417DC7" w:rsidRPr="00E87CD9" w:rsidRDefault="00417DC7" w:rsidP="00417DC7">
      <w:pPr>
        <w:ind w:firstLine="709"/>
        <w:jc w:val="both"/>
        <w:rPr>
          <w:color w:val="auto"/>
          <w:sz w:val="28"/>
          <w:szCs w:val="28"/>
        </w:rPr>
      </w:pPr>
      <w:r w:rsidRPr="00E87CD9">
        <w:rPr>
          <w:i/>
          <w:iCs/>
          <w:color w:val="auto"/>
          <w:sz w:val="28"/>
          <w:szCs w:val="28"/>
        </w:rPr>
        <w:lastRenderedPageBreak/>
        <w:t xml:space="preserve">Об‘єкт дослідження: </w:t>
      </w:r>
      <w:r w:rsidR="00D96D50" w:rsidRPr="00E87CD9">
        <w:rPr>
          <w:iCs/>
          <w:color w:val="auto"/>
          <w:sz w:val="28"/>
          <w:szCs w:val="28"/>
        </w:rPr>
        <w:t>ф</w:t>
      </w:r>
      <w:r w:rsidR="00C46F19" w:rsidRPr="00E87CD9">
        <w:rPr>
          <w:iCs/>
          <w:color w:val="auto"/>
          <w:sz w:val="28"/>
          <w:szCs w:val="28"/>
        </w:rPr>
        <w:t xml:space="preserve">армакологічна корекція </w:t>
      </w:r>
      <w:r w:rsidRPr="00E87CD9">
        <w:rPr>
          <w:color w:val="auto"/>
          <w:sz w:val="28"/>
          <w:szCs w:val="28"/>
        </w:rPr>
        <w:t>больов</w:t>
      </w:r>
      <w:r w:rsidR="00C46F19" w:rsidRPr="00E87CD9">
        <w:rPr>
          <w:color w:val="auto"/>
          <w:sz w:val="28"/>
          <w:szCs w:val="28"/>
        </w:rPr>
        <w:t>ого, запального</w:t>
      </w:r>
      <w:r w:rsidRPr="00E87CD9">
        <w:rPr>
          <w:color w:val="auto"/>
          <w:sz w:val="28"/>
          <w:szCs w:val="28"/>
        </w:rPr>
        <w:t xml:space="preserve"> синдром</w:t>
      </w:r>
      <w:r w:rsidR="00C46F19" w:rsidRPr="00E87CD9">
        <w:rPr>
          <w:color w:val="auto"/>
          <w:sz w:val="28"/>
          <w:szCs w:val="28"/>
        </w:rPr>
        <w:t xml:space="preserve">ів </w:t>
      </w:r>
      <w:r w:rsidR="00D96D50" w:rsidRPr="00E87CD9">
        <w:rPr>
          <w:color w:val="auto"/>
          <w:sz w:val="28"/>
          <w:szCs w:val="28"/>
        </w:rPr>
        <w:t>і</w:t>
      </w:r>
      <w:r w:rsidR="00C46F19" w:rsidRPr="00E87CD9">
        <w:rPr>
          <w:color w:val="auto"/>
          <w:sz w:val="28"/>
          <w:szCs w:val="28"/>
        </w:rPr>
        <w:t xml:space="preserve"> гормонального статусу</w:t>
      </w:r>
      <w:r w:rsidRPr="00E87CD9">
        <w:rPr>
          <w:color w:val="auto"/>
          <w:sz w:val="28"/>
          <w:szCs w:val="28"/>
        </w:rPr>
        <w:t xml:space="preserve"> за умов остеоартрозу та гіпотиреозу</w:t>
      </w:r>
      <w:r w:rsidRPr="00E87CD9">
        <w:rPr>
          <w:iCs/>
          <w:color w:val="auto"/>
          <w:sz w:val="28"/>
          <w:szCs w:val="28"/>
        </w:rPr>
        <w:t>.</w:t>
      </w:r>
    </w:p>
    <w:p w:rsidR="00417DC7" w:rsidRPr="00E87CD9" w:rsidRDefault="00417DC7" w:rsidP="00417DC7">
      <w:pPr>
        <w:ind w:firstLine="709"/>
        <w:jc w:val="both"/>
        <w:rPr>
          <w:color w:val="auto"/>
          <w:sz w:val="28"/>
          <w:szCs w:val="28"/>
        </w:rPr>
      </w:pPr>
      <w:r w:rsidRPr="00E87CD9">
        <w:rPr>
          <w:i/>
          <w:iCs/>
          <w:color w:val="auto"/>
          <w:sz w:val="28"/>
          <w:szCs w:val="28"/>
        </w:rPr>
        <w:t xml:space="preserve">Предмет дослідження: </w:t>
      </w:r>
      <w:r w:rsidRPr="00E87CD9">
        <w:rPr>
          <w:color w:val="auto"/>
          <w:sz w:val="28"/>
          <w:szCs w:val="28"/>
        </w:rPr>
        <w:t>фармакологічна активність НПЗЗ, парацетамолу, L-тироксину та хондроїтину сульфату за умов експериментального остеоартрозу та гіпотиреозу</w:t>
      </w:r>
      <w:r w:rsidRPr="00E87CD9">
        <w:rPr>
          <w:iCs/>
          <w:color w:val="auto"/>
          <w:sz w:val="28"/>
          <w:szCs w:val="28"/>
        </w:rPr>
        <w:t>.</w:t>
      </w:r>
    </w:p>
    <w:p w:rsidR="00417DC7" w:rsidRPr="00E87CD9" w:rsidRDefault="00417DC7" w:rsidP="00417DC7">
      <w:pPr>
        <w:ind w:firstLine="709"/>
        <w:jc w:val="both"/>
        <w:rPr>
          <w:color w:val="auto"/>
          <w:sz w:val="28"/>
          <w:szCs w:val="28"/>
        </w:rPr>
      </w:pPr>
      <w:r w:rsidRPr="00E87CD9">
        <w:rPr>
          <w:i/>
          <w:iCs/>
          <w:color w:val="auto"/>
          <w:sz w:val="28"/>
          <w:szCs w:val="28"/>
        </w:rPr>
        <w:t>Методи дослідження:</w:t>
      </w:r>
      <w:r w:rsidRPr="00E87CD9">
        <w:rPr>
          <w:iCs/>
          <w:color w:val="auto"/>
          <w:sz w:val="28"/>
          <w:szCs w:val="28"/>
        </w:rPr>
        <w:t xml:space="preserve"> фармакологічні, електрофізіологічні, біохімічні, фармакокінетичні, гістоморфологічні та </w:t>
      </w:r>
      <w:r w:rsidRPr="00E87CD9">
        <w:rPr>
          <w:bCs/>
          <w:color w:val="auto"/>
          <w:sz w:val="28"/>
          <w:szCs w:val="28"/>
        </w:rPr>
        <w:t>математико-</w:t>
      </w:r>
      <w:r w:rsidRPr="00E87CD9">
        <w:rPr>
          <w:iCs/>
          <w:color w:val="auto"/>
          <w:sz w:val="28"/>
          <w:szCs w:val="28"/>
        </w:rPr>
        <w:t>статистичні.</w:t>
      </w:r>
    </w:p>
    <w:p w:rsidR="00417DC7" w:rsidRPr="00E87CD9" w:rsidRDefault="00417DC7" w:rsidP="00B04FB0">
      <w:pPr>
        <w:pStyle w:val="a8"/>
        <w:ind w:left="0" w:firstLine="567"/>
        <w:rPr>
          <w:color w:val="auto"/>
        </w:rPr>
      </w:pPr>
      <w:r w:rsidRPr="00E87CD9">
        <w:rPr>
          <w:b/>
          <w:bCs/>
          <w:color w:val="auto"/>
        </w:rPr>
        <w:t xml:space="preserve">Наукова новизна одержаних результатів. </w:t>
      </w:r>
      <w:r w:rsidRPr="00E87CD9">
        <w:rPr>
          <w:iCs/>
          <w:color w:val="auto"/>
        </w:rPr>
        <w:t>В експерименті вперше проведені системні порівняльні дослідження аналгетичної, протизапальної (диклофенак натрію, ібупрофен, мелоксикам, німесулід, целекоксиб, парацетамол) та хондропротекторної (хондроїтину сульфат) терапії</w:t>
      </w:r>
      <w:r w:rsidR="00BA6FB3" w:rsidRPr="00E87CD9">
        <w:rPr>
          <w:iCs/>
          <w:color w:val="auto"/>
        </w:rPr>
        <w:t xml:space="preserve"> за умов призначення засобу замісної гормональної терапії (</w:t>
      </w:r>
      <w:r w:rsidR="00BA6FB3" w:rsidRPr="00E87CD9">
        <w:rPr>
          <w:color w:val="auto"/>
        </w:rPr>
        <w:t>L-тироксину)</w:t>
      </w:r>
      <w:r w:rsidR="00BA6FB3" w:rsidRPr="00E87CD9">
        <w:rPr>
          <w:iCs/>
          <w:color w:val="auto"/>
        </w:rPr>
        <w:t>н</w:t>
      </w:r>
      <w:r w:rsidRPr="00E87CD9">
        <w:rPr>
          <w:iCs/>
          <w:color w:val="auto"/>
        </w:rPr>
        <w:t>а</w:t>
      </w:r>
      <w:r w:rsidR="00BA6FB3" w:rsidRPr="00E87CD9">
        <w:rPr>
          <w:iCs/>
          <w:color w:val="auto"/>
        </w:rPr>
        <w:t xml:space="preserve"> тлі</w:t>
      </w:r>
      <w:r w:rsidRPr="00E87CD9">
        <w:rPr>
          <w:iCs/>
          <w:color w:val="auto"/>
        </w:rPr>
        <w:t xml:space="preserve"> коморбідної патології</w:t>
      </w:r>
      <w:r w:rsidR="00BA6FB3" w:rsidRPr="00E87CD9">
        <w:rPr>
          <w:iCs/>
          <w:color w:val="auto"/>
        </w:rPr>
        <w:t xml:space="preserve"> – ОА</w:t>
      </w:r>
      <w:r w:rsidRPr="00E87CD9">
        <w:rPr>
          <w:color w:val="auto"/>
        </w:rPr>
        <w:t xml:space="preserve"> та </w:t>
      </w:r>
      <w:r w:rsidR="00BA6FB3" w:rsidRPr="00E87CD9">
        <w:rPr>
          <w:color w:val="auto"/>
        </w:rPr>
        <w:t>ГІТ</w:t>
      </w:r>
      <w:r w:rsidRPr="00E87CD9">
        <w:rPr>
          <w:iCs/>
          <w:color w:val="auto"/>
        </w:rPr>
        <w:t>.</w:t>
      </w:r>
    </w:p>
    <w:p w:rsidR="00417DC7" w:rsidRPr="00E87CD9" w:rsidRDefault="00417DC7" w:rsidP="00B04FB0">
      <w:pPr>
        <w:ind w:firstLine="567"/>
        <w:jc w:val="both"/>
        <w:rPr>
          <w:color w:val="auto"/>
          <w:sz w:val="28"/>
          <w:szCs w:val="28"/>
        </w:rPr>
      </w:pPr>
      <w:r w:rsidRPr="00E87CD9">
        <w:rPr>
          <w:bCs/>
          <w:color w:val="auto"/>
          <w:sz w:val="28"/>
          <w:szCs w:val="28"/>
        </w:rPr>
        <w:t xml:space="preserve">Вперше досліджені структурні зміни кістково-хрящової тканини на тлі гіпофункції ЩЗ, </w:t>
      </w:r>
      <w:r w:rsidR="00BA6FB3" w:rsidRPr="00E87CD9">
        <w:rPr>
          <w:bCs/>
          <w:color w:val="auto"/>
          <w:sz w:val="28"/>
          <w:szCs w:val="28"/>
        </w:rPr>
        <w:t xml:space="preserve">що </w:t>
      </w:r>
      <w:r w:rsidRPr="00E87CD9">
        <w:rPr>
          <w:bCs/>
          <w:color w:val="auto"/>
          <w:sz w:val="28"/>
          <w:szCs w:val="28"/>
        </w:rPr>
        <w:t>свідчать про вплив гормональної недостатності на хрящову тканину та висвітлюють необхідність медикаментозної корекції патологічних порушень.</w:t>
      </w:r>
    </w:p>
    <w:p w:rsidR="00417DC7" w:rsidRPr="00E87CD9" w:rsidRDefault="00417DC7" w:rsidP="00B04FB0">
      <w:pPr>
        <w:shd w:val="clear" w:color="auto" w:fill="FFFFFF"/>
        <w:ind w:firstLine="567"/>
        <w:jc w:val="both"/>
        <w:rPr>
          <w:rFonts w:eastAsia="Calibri"/>
          <w:iCs/>
          <w:color w:val="auto"/>
          <w:sz w:val="28"/>
          <w:szCs w:val="28"/>
        </w:rPr>
      </w:pPr>
      <w:r w:rsidRPr="00E87CD9">
        <w:rPr>
          <w:bCs/>
          <w:color w:val="auto"/>
          <w:sz w:val="28"/>
          <w:szCs w:val="28"/>
        </w:rPr>
        <w:t xml:space="preserve">Доповнено дані щодо особливостей </w:t>
      </w:r>
      <w:r w:rsidRPr="00E87CD9">
        <w:rPr>
          <w:color w:val="auto"/>
          <w:sz w:val="28"/>
          <w:szCs w:val="28"/>
        </w:rPr>
        <w:t>больової перцепції</w:t>
      </w:r>
      <w:r w:rsidRPr="00E87CD9">
        <w:rPr>
          <w:bCs/>
          <w:color w:val="auto"/>
          <w:sz w:val="28"/>
          <w:szCs w:val="28"/>
        </w:rPr>
        <w:t xml:space="preserve"> за експериментальних патологічних станів та під впливом НПЗЗ та парацетамолу. В</w:t>
      </w:r>
      <w:r w:rsidRPr="00E87CD9">
        <w:rPr>
          <w:color w:val="auto"/>
          <w:sz w:val="28"/>
          <w:szCs w:val="28"/>
        </w:rPr>
        <w:t>становлено, що</w:t>
      </w:r>
      <w:r w:rsidRPr="00E87CD9">
        <w:rPr>
          <w:rFonts w:eastAsia="Calibri"/>
          <w:iCs/>
          <w:color w:val="auto"/>
          <w:sz w:val="28"/>
          <w:szCs w:val="28"/>
        </w:rPr>
        <w:t xml:space="preserve"> експериментальний </w:t>
      </w:r>
      <w:r w:rsidR="00BA6FB3" w:rsidRPr="00E87CD9">
        <w:rPr>
          <w:rFonts w:eastAsia="Calibri"/>
          <w:iCs/>
          <w:color w:val="auto"/>
          <w:sz w:val="28"/>
          <w:szCs w:val="28"/>
        </w:rPr>
        <w:t>ОА</w:t>
      </w:r>
      <w:r w:rsidRPr="00E87CD9">
        <w:rPr>
          <w:rFonts w:eastAsia="Calibri"/>
          <w:iCs/>
          <w:color w:val="auto"/>
          <w:sz w:val="28"/>
          <w:szCs w:val="28"/>
        </w:rPr>
        <w:t xml:space="preserve"> супроводжується зниженням порогу больової чутливості на 24% </w:t>
      </w:r>
      <w:r w:rsidRPr="00E87CD9">
        <w:rPr>
          <w:color w:val="auto"/>
          <w:sz w:val="28"/>
          <w:szCs w:val="28"/>
        </w:rPr>
        <w:t>(р&lt;0,0</w:t>
      </w:r>
      <w:r w:rsidR="00662E63" w:rsidRPr="00E87CD9">
        <w:rPr>
          <w:color w:val="auto"/>
          <w:sz w:val="28"/>
          <w:szCs w:val="28"/>
        </w:rPr>
        <w:t>5</w:t>
      </w:r>
      <w:r w:rsidRPr="00E87CD9">
        <w:rPr>
          <w:color w:val="auto"/>
          <w:sz w:val="28"/>
          <w:szCs w:val="28"/>
        </w:rPr>
        <w:t xml:space="preserve">), тоді як за наявності коморбідної патології </w:t>
      </w:r>
      <w:r w:rsidRPr="00E87CD9">
        <w:rPr>
          <w:rFonts w:eastAsia="Calibri"/>
          <w:iCs/>
          <w:color w:val="auto"/>
          <w:sz w:val="28"/>
          <w:szCs w:val="28"/>
        </w:rPr>
        <w:t xml:space="preserve">зниження порогу </w:t>
      </w:r>
      <w:r w:rsidR="00BA6FB3" w:rsidRPr="00E87CD9">
        <w:rPr>
          <w:rFonts w:eastAsia="Calibri"/>
          <w:iCs/>
          <w:color w:val="auto"/>
          <w:sz w:val="28"/>
          <w:szCs w:val="28"/>
        </w:rPr>
        <w:t>больового відчуття</w:t>
      </w:r>
      <w:r w:rsidRPr="00E87CD9">
        <w:rPr>
          <w:rFonts w:eastAsia="Calibri"/>
          <w:iCs/>
          <w:color w:val="auto"/>
          <w:sz w:val="28"/>
          <w:szCs w:val="28"/>
        </w:rPr>
        <w:t xml:space="preserve"> є меншим і сягає 17% (р</w:t>
      </w:r>
      <w:r w:rsidRPr="00E87CD9">
        <w:rPr>
          <w:color w:val="auto"/>
          <w:sz w:val="28"/>
          <w:szCs w:val="28"/>
        </w:rPr>
        <w:t>&lt;</w:t>
      </w:r>
      <w:r w:rsidRPr="00E87CD9">
        <w:rPr>
          <w:rFonts w:eastAsia="Calibri"/>
          <w:iCs/>
          <w:color w:val="auto"/>
          <w:sz w:val="28"/>
          <w:szCs w:val="28"/>
        </w:rPr>
        <w:t xml:space="preserve">0,05). </w:t>
      </w:r>
      <w:r w:rsidRPr="00E87CD9">
        <w:rPr>
          <w:rStyle w:val="Default20Paragraph20Font"/>
          <w:rFonts w:eastAsia="Calibri"/>
          <w:iCs/>
          <w:color w:val="auto"/>
          <w:sz w:val="28"/>
          <w:szCs w:val="28"/>
        </w:rPr>
        <w:t>З</w:t>
      </w:r>
      <w:r w:rsidRPr="00E87CD9">
        <w:rPr>
          <w:rFonts w:eastAsia="Calibri"/>
          <w:color w:val="auto"/>
          <w:sz w:val="28"/>
          <w:szCs w:val="28"/>
        </w:rPr>
        <w:t xml:space="preserve">а умов експериментального </w:t>
      </w:r>
      <w:r w:rsidR="00BA6FB3" w:rsidRPr="00E87CD9">
        <w:rPr>
          <w:rFonts w:eastAsia="Calibri"/>
          <w:color w:val="auto"/>
          <w:sz w:val="28"/>
          <w:szCs w:val="28"/>
        </w:rPr>
        <w:t>ОА</w:t>
      </w:r>
      <w:r w:rsidRPr="00E87CD9">
        <w:rPr>
          <w:rFonts w:eastAsia="Calibri"/>
          <w:color w:val="auto"/>
          <w:sz w:val="28"/>
          <w:szCs w:val="28"/>
        </w:rPr>
        <w:t xml:space="preserve"> та </w:t>
      </w:r>
      <w:r w:rsidR="00BA6FB3" w:rsidRPr="00E87CD9">
        <w:rPr>
          <w:rFonts w:eastAsia="Calibri"/>
          <w:color w:val="auto"/>
          <w:sz w:val="28"/>
          <w:szCs w:val="28"/>
        </w:rPr>
        <w:t>ГІТ</w:t>
      </w:r>
      <w:r w:rsidRPr="00E87CD9">
        <w:rPr>
          <w:rFonts w:eastAsia="Calibri"/>
          <w:color w:val="auto"/>
          <w:sz w:val="28"/>
          <w:szCs w:val="28"/>
        </w:rPr>
        <w:t xml:space="preserve"> селективні та переважні інгібітори ЦОГ-2 значно втратили свою знеболювальну активність у порівнянні з аналгетиками - невибірковими інгібіторами ЦОГ, особливо диклофенаком натрію. Найбільш слабку аналгетичну дію виявляв парацетамол. </w:t>
      </w:r>
      <w:r w:rsidRPr="00E87CD9">
        <w:rPr>
          <w:rFonts w:eastAsia="Calibri"/>
          <w:iCs/>
          <w:color w:val="auto"/>
          <w:sz w:val="28"/>
          <w:szCs w:val="28"/>
        </w:rPr>
        <w:t>З</w:t>
      </w:r>
      <w:r w:rsidRPr="00E87CD9">
        <w:rPr>
          <w:iCs/>
          <w:color w:val="auto"/>
          <w:sz w:val="28"/>
          <w:szCs w:val="28"/>
        </w:rPr>
        <w:t xml:space="preserve">амісна гормонотерапія </w:t>
      </w:r>
      <w:r w:rsidRPr="00E87CD9">
        <w:rPr>
          <w:color w:val="auto"/>
          <w:sz w:val="28"/>
          <w:szCs w:val="28"/>
        </w:rPr>
        <w:t>L-тироксином відновлювала антиноц</w:t>
      </w:r>
      <w:r w:rsidR="002259BA" w:rsidRPr="00E87CD9">
        <w:rPr>
          <w:color w:val="auto"/>
          <w:sz w:val="28"/>
          <w:szCs w:val="28"/>
        </w:rPr>
        <w:t>и</w:t>
      </w:r>
      <w:r w:rsidRPr="00E87CD9">
        <w:rPr>
          <w:color w:val="auto"/>
          <w:sz w:val="28"/>
          <w:szCs w:val="28"/>
        </w:rPr>
        <w:t xml:space="preserve">цептивну активність </w:t>
      </w:r>
      <w:r w:rsidRPr="00E87CD9">
        <w:rPr>
          <w:bCs/>
          <w:color w:val="auto"/>
          <w:sz w:val="28"/>
          <w:szCs w:val="28"/>
        </w:rPr>
        <w:t>НПЗЗ та парацетамолу</w:t>
      </w:r>
      <w:r w:rsidRPr="00E87CD9">
        <w:rPr>
          <w:rFonts w:eastAsia="Calibri"/>
          <w:iCs/>
          <w:color w:val="auto"/>
          <w:sz w:val="28"/>
          <w:szCs w:val="28"/>
        </w:rPr>
        <w:t>.</w:t>
      </w:r>
    </w:p>
    <w:p w:rsidR="00417DC7" w:rsidRPr="00E87CD9" w:rsidRDefault="00417DC7" w:rsidP="00B04FB0">
      <w:pPr>
        <w:pStyle w:val="WW-"/>
        <w:spacing w:after="0" w:line="240" w:lineRule="auto"/>
        <w:ind w:firstLine="567"/>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Показано, що сумісне призначення НПЗЗ та парацетамолу з препаратом замісної гормональної терапії L-тироксином сприяє позитивним змінам </w:t>
      </w:r>
      <w:r w:rsidRPr="00E87CD9">
        <w:rPr>
          <w:rFonts w:ascii="Times New Roman" w:hAnsi="Times New Roman" w:cs="Times New Roman"/>
          <w:bCs/>
          <w:color w:val="auto"/>
          <w:sz w:val="28"/>
          <w:szCs w:val="28"/>
          <w:lang w:val="uk-UA"/>
        </w:rPr>
        <w:t>рухової та дослідницької активності</w:t>
      </w:r>
      <w:r w:rsidRPr="00E87CD9">
        <w:rPr>
          <w:rFonts w:ascii="Times New Roman" w:hAnsi="Times New Roman" w:cs="Times New Roman"/>
          <w:color w:val="auto"/>
          <w:sz w:val="28"/>
          <w:szCs w:val="28"/>
          <w:lang w:val="uk-UA"/>
        </w:rPr>
        <w:t xml:space="preserve"> щурів за умов експериментального ОА та ГІТ та чинить різний вплив на показники спонтанної поведінкової активності.</w:t>
      </w:r>
    </w:p>
    <w:p w:rsidR="00417DC7" w:rsidRPr="00E87CD9" w:rsidRDefault="00417DC7" w:rsidP="00B04FB0">
      <w:pPr>
        <w:ind w:firstLine="567"/>
        <w:jc w:val="both"/>
        <w:rPr>
          <w:color w:val="auto"/>
          <w:sz w:val="28"/>
          <w:szCs w:val="28"/>
        </w:rPr>
      </w:pPr>
      <w:r w:rsidRPr="00E87CD9">
        <w:rPr>
          <w:color w:val="auto"/>
          <w:sz w:val="28"/>
          <w:szCs w:val="28"/>
        </w:rPr>
        <w:t xml:space="preserve">Вперше оцінена протизапальна та хондропротекторна активність НПЗЗ та парацетамолу за рівнем маркерів IL 1, IL 6, IL 8, ММП-3, ММП-9, ММП-13, ФНП, СРП, </w:t>
      </w:r>
      <w:r w:rsidRPr="00E87CD9">
        <w:rPr>
          <w:bCs/>
          <w:color w:val="auto"/>
          <w:sz w:val="28"/>
          <w:szCs w:val="28"/>
        </w:rPr>
        <w:t>КЛФ,</w:t>
      </w:r>
      <w:r w:rsidRPr="00E87CD9">
        <w:rPr>
          <w:color w:val="auto"/>
          <w:sz w:val="28"/>
          <w:szCs w:val="28"/>
        </w:rPr>
        <w:t xml:space="preserve"> СТХ I, СТХ IІ та встановлена спроможність досліджуваних препаратів до впливу на запальні та дегенеративно-дистрофічні процеси у хрящовій тканині та тканині суглобу</w:t>
      </w:r>
      <w:r w:rsidR="00BA6FB3" w:rsidRPr="00E87CD9">
        <w:rPr>
          <w:color w:val="auto"/>
          <w:sz w:val="28"/>
          <w:szCs w:val="28"/>
        </w:rPr>
        <w:t xml:space="preserve"> за коморбідного стану</w:t>
      </w:r>
      <w:r w:rsidRPr="00E87CD9">
        <w:rPr>
          <w:color w:val="auto"/>
          <w:sz w:val="28"/>
          <w:szCs w:val="28"/>
        </w:rPr>
        <w:t>.</w:t>
      </w:r>
    </w:p>
    <w:p w:rsidR="00417DC7" w:rsidRPr="00E87CD9" w:rsidRDefault="00417DC7" w:rsidP="00B04FB0">
      <w:pPr>
        <w:pStyle w:val="WW-1"/>
        <w:spacing w:after="0" w:line="240" w:lineRule="auto"/>
        <w:ind w:firstLine="567"/>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Визначені препарати </w:t>
      </w:r>
      <w:r w:rsidR="00BA6FB3" w:rsidRPr="00E87CD9">
        <w:rPr>
          <w:rFonts w:ascii="Times New Roman" w:hAnsi="Times New Roman" w:cs="Times New Roman"/>
          <w:color w:val="auto"/>
          <w:sz w:val="28"/>
          <w:szCs w:val="28"/>
          <w:lang w:val="uk-UA"/>
        </w:rPr>
        <w:t>групи НПЗЗ</w:t>
      </w:r>
      <w:r w:rsidRPr="00E87CD9">
        <w:rPr>
          <w:rFonts w:ascii="Times New Roman" w:hAnsi="Times New Roman" w:cs="Times New Roman"/>
          <w:color w:val="auto"/>
          <w:sz w:val="28"/>
          <w:szCs w:val="28"/>
          <w:lang w:val="uk-UA"/>
        </w:rPr>
        <w:t xml:space="preserve">, </w:t>
      </w:r>
      <w:r w:rsidR="00BA6FB3" w:rsidRPr="00E87CD9">
        <w:rPr>
          <w:rFonts w:ascii="Times New Roman" w:hAnsi="Times New Roman" w:cs="Times New Roman"/>
          <w:color w:val="auto"/>
          <w:sz w:val="28"/>
          <w:szCs w:val="28"/>
          <w:lang w:val="uk-UA"/>
        </w:rPr>
        <w:t>що</w:t>
      </w:r>
      <w:r w:rsidRPr="00E87CD9">
        <w:rPr>
          <w:rFonts w:ascii="Times New Roman" w:hAnsi="Times New Roman" w:cs="Times New Roman"/>
          <w:color w:val="auto"/>
          <w:sz w:val="28"/>
          <w:szCs w:val="28"/>
          <w:lang w:val="uk-UA"/>
        </w:rPr>
        <w:t xml:space="preserve"> впливають на концентрацію ТТГ, Т3 та Т4 у сироватці крові при ОА та ГІТ. Так, ібупрофен, мелоксикам та німесулід знижували рівень ТТГ у сироватці крові щурів у 1,47; 1,</w:t>
      </w:r>
      <w:r w:rsidR="00195684" w:rsidRPr="00E87CD9">
        <w:rPr>
          <w:rFonts w:ascii="Times New Roman" w:hAnsi="Times New Roman" w:cs="Times New Roman"/>
          <w:color w:val="auto"/>
          <w:sz w:val="28"/>
          <w:szCs w:val="28"/>
          <w:lang w:val="uk-UA"/>
        </w:rPr>
        <w:t>29</w:t>
      </w:r>
      <w:r w:rsidRPr="00E87CD9">
        <w:rPr>
          <w:rFonts w:ascii="Times New Roman" w:hAnsi="Times New Roman" w:cs="Times New Roman"/>
          <w:color w:val="auto"/>
          <w:sz w:val="28"/>
          <w:szCs w:val="28"/>
          <w:lang w:val="uk-UA"/>
        </w:rPr>
        <w:t xml:space="preserve"> та 1,4</w:t>
      </w:r>
      <w:r w:rsidR="00195684" w:rsidRPr="00E87CD9">
        <w:rPr>
          <w:rFonts w:ascii="Times New Roman" w:hAnsi="Times New Roman" w:cs="Times New Roman"/>
          <w:color w:val="auto"/>
          <w:sz w:val="28"/>
          <w:szCs w:val="28"/>
          <w:lang w:val="uk-UA"/>
        </w:rPr>
        <w:t>0</w:t>
      </w:r>
      <w:r w:rsidRPr="00E87CD9">
        <w:rPr>
          <w:rFonts w:ascii="Times New Roman" w:hAnsi="Times New Roman" w:cs="Times New Roman"/>
          <w:color w:val="auto"/>
          <w:sz w:val="28"/>
          <w:szCs w:val="28"/>
          <w:lang w:val="uk-UA"/>
        </w:rPr>
        <w:t xml:space="preserve"> рази відповідно (р&lt;0,05) та підвищували рівень Т4 у 1,23; 1,27 та 1,26 раз</w:t>
      </w:r>
      <w:r w:rsidR="002259BA" w:rsidRPr="00E87CD9">
        <w:rPr>
          <w:rFonts w:ascii="Times New Roman" w:hAnsi="Times New Roman" w:cs="Times New Roman"/>
          <w:color w:val="auto"/>
          <w:sz w:val="28"/>
          <w:szCs w:val="28"/>
          <w:lang w:val="uk-UA"/>
        </w:rPr>
        <w:t>и</w:t>
      </w:r>
      <w:r w:rsidRPr="00E87CD9">
        <w:rPr>
          <w:rFonts w:ascii="Times New Roman" w:hAnsi="Times New Roman" w:cs="Times New Roman"/>
          <w:color w:val="auto"/>
          <w:sz w:val="28"/>
          <w:szCs w:val="28"/>
          <w:lang w:val="uk-UA"/>
        </w:rPr>
        <w:t xml:space="preserve"> відповідно (р&lt;0,05).</w:t>
      </w:r>
    </w:p>
    <w:p w:rsidR="00417DC7" w:rsidRPr="00E87CD9" w:rsidRDefault="00B04FB0" w:rsidP="00B04FB0">
      <w:pPr>
        <w:ind w:firstLine="567"/>
        <w:jc w:val="both"/>
        <w:rPr>
          <w:color w:val="auto"/>
          <w:sz w:val="28"/>
          <w:szCs w:val="28"/>
        </w:rPr>
      </w:pPr>
      <w:r w:rsidRPr="00E87CD9">
        <w:rPr>
          <w:color w:val="auto"/>
          <w:sz w:val="28"/>
          <w:szCs w:val="28"/>
        </w:rPr>
        <w:t>Встановлена з</w:t>
      </w:r>
      <w:r w:rsidR="00417DC7" w:rsidRPr="00E87CD9">
        <w:rPr>
          <w:color w:val="auto"/>
          <w:sz w:val="28"/>
          <w:szCs w:val="28"/>
        </w:rPr>
        <w:t xml:space="preserve">датність хондроїтину сульфату </w:t>
      </w:r>
      <w:r w:rsidRPr="00E87CD9">
        <w:rPr>
          <w:color w:val="auto"/>
          <w:sz w:val="28"/>
          <w:szCs w:val="28"/>
        </w:rPr>
        <w:t xml:space="preserve">відновлювати морфометричні розміри уражених суглобів, показники рухової, дослідницької та вегетативної активності у щурів, проявляти помірну знеболювальну дію та </w:t>
      </w:r>
      <w:r w:rsidRPr="00E87CD9">
        <w:rPr>
          <w:color w:val="auto"/>
          <w:sz w:val="28"/>
          <w:szCs w:val="28"/>
        </w:rPr>
        <w:lastRenderedPageBreak/>
        <w:t>позитивно впливати на біохімічні показники (рівні серомукоїдів, сіалових кислот, глікозаміногліканів, оксипроліну, си</w:t>
      </w:r>
      <w:r w:rsidR="00DE2E88" w:rsidRPr="00E87CD9">
        <w:rPr>
          <w:color w:val="auto"/>
          <w:sz w:val="28"/>
          <w:szCs w:val="28"/>
        </w:rPr>
        <w:t>рова</w:t>
      </w:r>
      <w:r w:rsidRPr="00E87CD9">
        <w:rPr>
          <w:color w:val="auto"/>
          <w:sz w:val="28"/>
          <w:szCs w:val="28"/>
        </w:rPr>
        <w:t xml:space="preserve">ткового кальцію та маркеру СТХ ІІ) </w:t>
      </w:r>
      <w:r w:rsidR="00417DC7" w:rsidRPr="00E87CD9">
        <w:rPr>
          <w:color w:val="auto"/>
          <w:sz w:val="28"/>
          <w:szCs w:val="28"/>
        </w:rPr>
        <w:t>за коморбідного стану</w:t>
      </w:r>
      <w:r w:rsidRPr="00E87CD9">
        <w:rPr>
          <w:color w:val="auto"/>
          <w:sz w:val="28"/>
          <w:szCs w:val="28"/>
        </w:rPr>
        <w:t xml:space="preserve"> – </w:t>
      </w:r>
      <w:r w:rsidR="00417DC7" w:rsidRPr="00E87CD9">
        <w:rPr>
          <w:color w:val="auto"/>
          <w:sz w:val="28"/>
          <w:szCs w:val="28"/>
        </w:rPr>
        <w:t>ОА та ГІТ.</w:t>
      </w:r>
    </w:p>
    <w:p w:rsidR="004372F8" w:rsidRPr="00E87CD9" w:rsidRDefault="00417DC7" w:rsidP="00B04FB0">
      <w:pPr>
        <w:ind w:firstLine="567"/>
        <w:jc w:val="both"/>
        <w:rPr>
          <w:color w:val="auto"/>
          <w:sz w:val="28"/>
          <w:szCs w:val="28"/>
          <w:lang w:eastAsia="ru-RU"/>
        </w:rPr>
      </w:pPr>
      <w:r w:rsidRPr="00E87CD9">
        <w:rPr>
          <w:iCs/>
          <w:color w:val="auto"/>
          <w:sz w:val="28"/>
          <w:szCs w:val="28"/>
        </w:rPr>
        <w:t xml:space="preserve">Вперше при </w:t>
      </w:r>
      <w:r w:rsidR="00B04FB0" w:rsidRPr="00E87CD9">
        <w:rPr>
          <w:iCs/>
          <w:color w:val="auto"/>
          <w:sz w:val="28"/>
          <w:szCs w:val="28"/>
        </w:rPr>
        <w:t xml:space="preserve">ОА, </w:t>
      </w:r>
      <w:r w:rsidRPr="00E87CD9">
        <w:rPr>
          <w:iCs/>
          <w:color w:val="auto"/>
          <w:sz w:val="28"/>
          <w:szCs w:val="28"/>
        </w:rPr>
        <w:t>коморбідн</w:t>
      </w:r>
      <w:r w:rsidR="00B04FB0" w:rsidRPr="00E87CD9">
        <w:rPr>
          <w:iCs/>
          <w:color w:val="auto"/>
          <w:sz w:val="28"/>
          <w:szCs w:val="28"/>
        </w:rPr>
        <w:t>ого з</w:t>
      </w:r>
      <w:r w:rsidRPr="00E87CD9">
        <w:rPr>
          <w:iCs/>
          <w:color w:val="auto"/>
          <w:sz w:val="28"/>
          <w:szCs w:val="28"/>
        </w:rPr>
        <w:t xml:space="preserve"> ГІТ </w:t>
      </w:r>
      <w:r w:rsidR="00BA6FB3" w:rsidRPr="00E87CD9">
        <w:rPr>
          <w:iCs/>
          <w:color w:val="auto"/>
          <w:sz w:val="28"/>
          <w:szCs w:val="28"/>
        </w:rPr>
        <w:t>обґрунтовано</w:t>
      </w:r>
      <w:r w:rsidR="00B04FB0" w:rsidRPr="00E87CD9">
        <w:rPr>
          <w:iCs/>
          <w:color w:val="auto"/>
          <w:sz w:val="28"/>
          <w:szCs w:val="28"/>
        </w:rPr>
        <w:t xml:space="preserve">комбіноване застосування </w:t>
      </w:r>
      <w:r w:rsidRPr="00E87CD9">
        <w:rPr>
          <w:color w:val="auto"/>
          <w:sz w:val="28"/>
          <w:szCs w:val="28"/>
        </w:rPr>
        <w:t>L-тироксину, диклофенаку натрію та хондроїтину сульфату</w:t>
      </w:r>
      <w:r w:rsidR="00BA6FB3" w:rsidRPr="00E87CD9">
        <w:rPr>
          <w:color w:val="auto"/>
          <w:sz w:val="28"/>
          <w:szCs w:val="28"/>
        </w:rPr>
        <w:t xml:space="preserve">. Саме за комбінованого застосування цих препаратів виявлені </w:t>
      </w:r>
      <w:r w:rsidRPr="00E87CD9">
        <w:rPr>
          <w:color w:val="auto"/>
          <w:sz w:val="28"/>
          <w:szCs w:val="28"/>
        </w:rPr>
        <w:t>знеболю</w:t>
      </w:r>
      <w:r w:rsidR="00BA6FB3" w:rsidRPr="00E87CD9">
        <w:rPr>
          <w:color w:val="auto"/>
          <w:sz w:val="28"/>
          <w:szCs w:val="28"/>
        </w:rPr>
        <w:t>вальн</w:t>
      </w:r>
      <w:r w:rsidRPr="00E87CD9">
        <w:rPr>
          <w:color w:val="auto"/>
          <w:sz w:val="28"/>
          <w:szCs w:val="28"/>
        </w:rPr>
        <w:t xml:space="preserve">і та протизапальні ефекти, </w:t>
      </w:r>
      <w:r w:rsidR="00BA6FB3" w:rsidRPr="00E87CD9">
        <w:rPr>
          <w:color w:val="auto"/>
          <w:sz w:val="28"/>
          <w:szCs w:val="28"/>
        </w:rPr>
        <w:t xml:space="preserve">а також </w:t>
      </w:r>
      <w:r w:rsidRPr="00E87CD9">
        <w:rPr>
          <w:color w:val="auto"/>
          <w:sz w:val="28"/>
          <w:szCs w:val="28"/>
        </w:rPr>
        <w:t>активн</w:t>
      </w:r>
      <w:r w:rsidR="00BA6FB3" w:rsidRPr="00E87CD9">
        <w:rPr>
          <w:color w:val="auto"/>
          <w:sz w:val="28"/>
          <w:szCs w:val="28"/>
        </w:rPr>
        <w:t>а</w:t>
      </w:r>
      <w:r w:rsidRPr="00E87CD9">
        <w:rPr>
          <w:color w:val="auto"/>
          <w:sz w:val="28"/>
          <w:szCs w:val="28"/>
        </w:rPr>
        <w:t xml:space="preserve"> регенераці</w:t>
      </w:r>
      <w:r w:rsidR="00BA6FB3" w:rsidRPr="00E87CD9">
        <w:rPr>
          <w:color w:val="auto"/>
          <w:sz w:val="28"/>
          <w:szCs w:val="28"/>
        </w:rPr>
        <w:t>я</w:t>
      </w:r>
      <w:r w:rsidRPr="00E87CD9">
        <w:rPr>
          <w:color w:val="auto"/>
          <w:sz w:val="28"/>
          <w:szCs w:val="28"/>
        </w:rPr>
        <w:t xml:space="preserve"> як хрящової, так і кісткової тканини з формуванням ділянок неоваскулогенезу у пошкодженому суглобі.</w:t>
      </w:r>
      <w:r w:rsidRPr="00E87CD9">
        <w:rPr>
          <w:iCs/>
          <w:color w:val="auto"/>
          <w:sz w:val="28"/>
          <w:szCs w:val="28"/>
        </w:rPr>
        <w:t xml:space="preserve"> Доведено, що</w:t>
      </w:r>
      <w:r w:rsidRPr="00E87CD9">
        <w:rPr>
          <w:color w:val="auto"/>
          <w:sz w:val="28"/>
          <w:szCs w:val="28"/>
          <w:lang w:eastAsia="ru-RU"/>
        </w:rPr>
        <w:t xml:space="preserve"> аналгетична </w:t>
      </w:r>
      <w:r w:rsidR="00B04FB0" w:rsidRPr="00E87CD9">
        <w:rPr>
          <w:color w:val="auto"/>
          <w:sz w:val="28"/>
          <w:szCs w:val="28"/>
          <w:lang w:eastAsia="ru-RU"/>
        </w:rPr>
        <w:t>активність</w:t>
      </w:r>
      <w:r w:rsidR="001F197B" w:rsidRPr="00E87CD9">
        <w:rPr>
          <w:color w:val="auto"/>
          <w:sz w:val="28"/>
          <w:szCs w:val="28"/>
          <w:lang w:eastAsia="ru-RU"/>
        </w:rPr>
        <w:t xml:space="preserve">за комбінованого застосування </w:t>
      </w:r>
      <w:r w:rsidRPr="00E87CD9">
        <w:rPr>
          <w:color w:val="auto"/>
          <w:sz w:val="28"/>
          <w:szCs w:val="28"/>
          <w:lang w:eastAsia="ru-RU"/>
        </w:rPr>
        <w:t>д</w:t>
      </w:r>
      <w:r w:rsidRPr="00E87CD9">
        <w:rPr>
          <w:color w:val="auto"/>
          <w:sz w:val="28"/>
          <w:szCs w:val="28"/>
        </w:rPr>
        <w:t>иклофенак</w:t>
      </w:r>
      <w:r w:rsidR="001F197B" w:rsidRPr="00E87CD9">
        <w:rPr>
          <w:color w:val="auto"/>
          <w:sz w:val="28"/>
          <w:szCs w:val="28"/>
        </w:rPr>
        <w:t>у</w:t>
      </w:r>
      <w:r w:rsidRPr="00E87CD9">
        <w:rPr>
          <w:color w:val="auto"/>
          <w:sz w:val="28"/>
          <w:szCs w:val="28"/>
        </w:rPr>
        <w:t xml:space="preserve"> натрію </w:t>
      </w:r>
      <w:r w:rsidR="001F197B" w:rsidRPr="00E87CD9">
        <w:rPr>
          <w:color w:val="auto"/>
          <w:sz w:val="28"/>
          <w:szCs w:val="28"/>
        </w:rPr>
        <w:t>з</w:t>
      </w:r>
      <w:r w:rsidRPr="00E87CD9">
        <w:rPr>
          <w:color w:val="auto"/>
          <w:sz w:val="28"/>
          <w:szCs w:val="28"/>
        </w:rPr>
        <w:t xml:space="preserve"> хондроїтин</w:t>
      </w:r>
      <w:r w:rsidR="001F197B" w:rsidRPr="00E87CD9">
        <w:rPr>
          <w:color w:val="auto"/>
          <w:sz w:val="28"/>
          <w:szCs w:val="28"/>
        </w:rPr>
        <w:t>ом</w:t>
      </w:r>
      <w:r w:rsidRPr="00E87CD9">
        <w:rPr>
          <w:color w:val="auto"/>
          <w:sz w:val="28"/>
          <w:szCs w:val="28"/>
        </w:rPr>
        <w:t xml:space="preserve"> сульфат</w:t>
      </w:r>
      <w:r w:rsidR="001F197B" w:rsidRPr="00E87CD9">
        <w:rPr>
          <w:color w:val="auto"/>
          <w:sz w:val="28"/>
          <w:szCs w:val="28"/>
        </w:rPr>
        <w:t>ом та</w:t>
      </w:r>
      <w:r w:rsidRPr="00E87CD9">
        <w:rPr>
          <w:color w:val="auto"/>
          <w:sz w:val="28"/>
          <w:szCs w:val="28"/>
        </w:rPr>
        <w:t xml:space="preserve"> L-тироксин</w:t>
      </w:r>
      <w:r w:rsidR="001F197B" w:rsidRPr="00E87CD9">
        <w:rPr>
          <w:color w:val="auto"/>
          <w:sz w:val="28"/>
          <w:szCs w:val="28"/>
        </w:rPr>
        <w:t>ом</w:t>
      </w:r>
      <w:r w:rsidRPr="00E87CD9">
        <w:rPr>
          <w:color w:val="auto"/>
          <w:sz w:val="28"/>
          <w:szCs w:val="28"/>
          <w:lang w:eastAsia="ru-RU"/>
        </w:rPr>
        <w:t xml:space="preserve"> при одноразовому внутрішньошлунковому введені</w:t>
      </w:r>
      <w:r w:rsidRPr="00E87CD9">
        <w:rPr>
          <w:rStyle w:val="Default20Paragraph20Font"/>
          <w:bCs/>
          <w:iCs/>
          <w:color w:val="auto"/>
          <w:sz w:val="28"/>
          <w:szCs w:val="28"/>
        </w:rPr>
        <w:t xml:space="preserve"> на різних моделях больової перцепції </w:t>
      </w:r>
      <w:r w:rsidR="00B04FB0" w:rsidRPr="00E87CD9">
        <w:rPr>
          <w:color w:val="auto"/>
          <w:sz w:val="28"/>
          <w:szCs w:val="28"/>
          <w:lang w:eastAsia="ru-RU"/>
        </w:rPr>
        <w:t>вища за знеболювальну дію окремих препаратів.</w:t>
      </w:r>
    </w:p>
    <w:p w:rsidR="00417DC7" w:rsidRPr="00E87CD9" w:rsidRDefault="004372F8" w:rsidP="00B04FB0">
      <w:pPr>
        <w:ind w:firstLine="567"/>
        <w:jc w:val="both"/>
        <w:rPr>
          <w:color w:val="auto"/>
          <w:sz w:val="28"/>
          <w:szCs w:val="28"/>
          <w:lang w:eastAsia="ru-RU"/>
        </w:rPr>
      </w:pPr>
      <w:r w:rsidRPr="00E87CD9">
        <w:rPr>
          <w:color w:val="auto"/>
          <w:sz w:val="28"/>
          <w:szCs w:val="28"/>
        </w:rPr>
        <w:t>Встановлена відсутність біофармацевтичної взаємодії між препаратами, що використовувалися для знеболення та зменшення запальних симптомів, на тлі ОА, асоційованого з ГІТ.</w:t>
      </w:r>
    </w:p>
    <w:p w:rsidR="00417DC7" w:rsidRPr="00E87CD9" w:rsidRDefault="00417DC7" w:rsidP="00B04FB0">
      <w:pPr>
        <w:ind w:firstLine="567"/>
        <w:jc w:val="both"/>
        <w:rPr>
          <w:b/>
          <w:color w:val="auto"/>
          <w:sz w:val="28"/>
          <w:szCs w:val="28"/>
        </w:rPr>
      </w:pPr>
      <w:r w:rsidRPr="00E87CD9">
        <w:rPr>
          <w:iCs/>
          <w:color w:val="auto"/>
          <w:sz w:val="28"/>
          <w:szCs w:val="28"/>
        </w:rPr>
        <w:t xml:space="preserve">Наукову новизну підтверджено </w:t>
      </w:r>
      <w:r w:rsidRPr="00E87CD9">
        <w:rPr>
          <w:bCs/>
          <w:iCs/>
          <w:color w:val="auto"/>
          <w:sz w:val="28"/>
          <w:szCs w:val="28"/>
          <w:shd w:val="clear" w:color="auto" w:fill="FFFFFF"/>
          <w:lang w:eastAsia="ru-RU"/>
        </w:rPr>
        <w:t xml:space="preserve">впровадженням досягнень медичної науки у сферу охорони здоров'я </w:t>
      </w:r>
      <w:r w:rsidRPr="00E87CD9">
        <w:rPr>
          <w:iCs/>
          <w:color w:val="auto"/>
          <w:sz w:val="28"/>
          <w:szCs w:val="28"/>
          <w:shd w:val="clear" w:color="auto" w:fill="FFFFFF"/>
          <w:lang w:eastAsia="ru-RU"/>
        </w:rPr>
        <w:t>«</w:t>
      </w:r>
      <w:r w:rsidRPr="00E87CD9">
        <w:rPr>
          <w:bCs/>
          <w:iCs/>
          <w:color w:val="auto"/>
          <w:sz w:val="28"/>
          <w:szCs w:val="28"/>
          <w:shd w:val="clear" w:color="auto" w:fill="FFFFFF"/>
          <w:lang w:eastAsia="ru-RU"/>
        </w:rPr>
        <w:t>Раціональне лікування остеоартрозу суглобів при супутньому гіпотиреозі</w:t>
      </w:r>
      <w:r w:rsidRPr="00E87CD9">
        <w:rPr>
          <w:iCs/>
          <w:color w:val="auto"/>
          <w:sz w:val="28"/>
          <w:szCs w:val="28"/>
          <w:shd w:val="clear" w:color="auto" w:fill="FFFFFF"/>
          <w:lang w:eastAsia="ru-RU"/>
        </w:rPr>
        <w:t xml:space="preserve">» (реєстр № 276/6/19) та </w:t>
      </w:r>
      <w:r w:rsidRPr="00E87CD9">
        <w:rPr>
          <w:iCs/>
          <w:color w:val="auto"/>
          <w:sz w:val="28"/>
          <w:szCs w:val="28"/>
        </w:rPr>
        <w:t>патентом України на корисну модель «</w:t>
      </w:r>
      <w:r w:rsidRPr="00E87CD9">
        <w:rPr>
          <w:bCs/>
          <w:iCs/>
          <w:color w:val="auto"/>
          <w:sz w:val="28"/>
          <w:szCs w:val="28"/>
          <w:shd w:val="clear" w:color="auto" w:fill="FFFFFF"/>
          <w:lang w:eastAsia="ru-RU"/>
        </w:rPr>
        <w:t xml:space="preserve">Спосіб лікування остеоартрозу </w:t>
      </w:r>
      <w:r w:rsidRPr="00E87CD9">
        <w:rPr>
          <w:iCs/>
          <w:color w:val="auto"/>
          <w:sz w:val="28"/>
          <w:szCs w:val="28"/>
          <w:shd w:val="clear" w:color="auto" w:fill="FFFFFF"/>
          <w:lang w:eastAsia="ru-RU"/>
        </w:rPr>
        <w:t>при супутньому гіпотиреозі» №</w:t>
      </w:r>
      <w:r w:rsidRPr="00E87CD9">
        <w:rPr>
          <w:bCs/>
          <w:iCs/>
          <w:color w:val="auto"/>
          <w:sz w:val="28"/>
          <w:szCs w:val="28"/>
          <w:shd w:val="clear" w:color="auto" w:fill="FFFFFF"/>
          <w:lang w:eastAsia="ru-RU"/>
        </w:rPr>
        <w:t xml:space="preserve"> 137435.</w:t>
      </w:r>
    </w:p>
    <w:p w:rsidR="00417DC7" w:rsidRPr="00E87CD9" w:rsidRDefault="00417DC7" w:rsidP="00B04FB0">
      <w:pPr>
        <w:ind w:firstLine="567"/>
        <w:jc w:val="both"/>
        <w:rPr>
          <w:color w:val="auto"/>
          <w:sz w:val="28"/>
          <w:szCs w:val="28"/>
        </w:rPr>
      </w:pPr>
      <w:r w:rsidRPr="00E87CD9">
        <w:rPr>
          <w:b/>
          <w:color w:val="auto"/>
          <w:sz w:val="28"/>
          <w:szCs w:val="28"/>
        </w:rPr>
        <w:t>Практичне значення одержаних результатів.</w:t>
      </w:r>
      <w:r w:rsidRPr="00E87CD9">
        <w:rPr>
          <w:color w:val="auto"/>
          <w:sz w:val="28"/>
          <w:szCs w:val="28"/>
        </w:rPr>
        <w:t xml:space="preserve">Результати роботи є передумовою </w:t>
      </w:r>
      <w:r w:rsidR="00B04FB0" w:rsidRPr="00E87CD9">
        <w:rPr>
          <w:color w:val="auto"/>
          <w:sz w:val="28"/>
          <w:szCs w:val="28"/>
        </w:rPr>
        <w:t xml:space="preserve">для </w:t>
      </w:r>
      <w:r w:rsidRPr="00E87CD9">
        <w:rPr>
          <w:color w:val="auto"/>
          <w:sz w:val="28"/>
          <w:szCs w:val="28"/>
        </w:rPr>
        <w:t xml:space="preserve">обґрунтування раціональних підходів до фармакотерапії болю </w:t>
      </w:r>
      <w:r w:rsidR="004372F8" w:rsidRPr="00E87CD9">
        <w:rPr>
          <w:color w:val="auto"/>
          <w:sz w:val="28"/>
          <w:szCs w:val="28"/>
        </w:rPr>
        <w:t>і</w:t>
      </w:r>
      <w:r w:rsidRPr="00E87CD9">
        <w:rPr>
          <w:color w:val="auto"/>
          <w:sz w:val="28"/>
          <w:szCs w:val="28"/>
        </w:rPr>
        <w:t xml:space="preserve"> запалення та забезпечення адекватної хондропротекції у хворих на </w:t>
      </w:r>
      <w:r w:rsidR="004372F8" w:rsidRPr="00E87CD9">
        <w:rPr>
          <w:color w:val="auto"/>
          <w:sz w:val="28"/>
          <w:szCs w:val="28"/>
        </w:rPr>
        <w:t>ОА</w:t>
      </w:r>
      <w:r w:rsidRPr="00E87CD9">
        <w:rPr>
          <w:color w:val="auto"/>
          <w:sz w:val="28"/>
          <w:szCs w:val="28"/>
        </w:rPr>
        <w:t xml:space="preserve"> при супутньому </w:t>
      </w:r>
      <w:r w:rsidR="004372F8" w:rsidRPr="00E87CD9">
        <w:rPr>
          <w:color w:val="auto"/>
          <w:sz w:val="28"/>
          <w:szCs w:val="28"/>
        </w:rPr>
        <w:t>ГІТ</w:t>
      </w:r>
      <w:r w:rsidRPr="00E87CD9">
        <w:rPr>
          <w:color w:val="auto"/>
          <w:sz w:val="28"/>
          <w:szCs w:val="28"/>
        </w:rPr>
        <w:t>.</w:t>
      </w:r>
    </w:p>
    <w:p w:rsidR="00417DC7" w:rsidRPr="00E87CD9" w:rsidRDefault="00417DC7" w:rsidP="00B04FB0">
      <w:pPr>
        <w:ind w:firstLine="567"/>
        <w:jc w:val="both"/>
        <w:rPr>
          <w:color w:val="auto"/>
          <w:sz w:val="28"/>
          <w:szCs w:val="28"/>
        </w:rPr>
      </w:pPr>
      <w:r w:rsidRPr="00E87CD9">
        <w:rPr>
          <w:color w:val="auto"/>
          <w:sz w:val="28"/>
          <w:szCs w:val="28"/>
        </w:rPr>
        <w:t>За результатами виконаного дослідження ПраТ «Фітофарм» здійснено впровадження лікарського препарату «Артеджа Ін’єкції» у виробництво</w:t>
      </w:r>
      <w:r w:rsidR="004372F8" w:rsidRPr="00E87CD9">
        <w:rPr>
          <w:color w:val="auto"/>
          <w:sz w:val="28"/>
          <w:szCs w:val="28"/>
        </w:rPr>
        <w:t xml:space="preserve">, що забезпечує його </w:t>
      </w:r>
      <w:r w:rsidRPr="00E87CD9">
        <w:rPr>
          <w:color w:val="auto"/>
          <w:sz w:val="28"/>
          <w:szCs w:val="28"/>
        </w:rPr>
        <w:t xml:space="preserve">обіг на фармацевтичному ринку України </w:t>
      </w:r>
      <w:r w:rsidRPr="00E87CD9">
        <w:rPr>
          <w:bCs/>
          <w:color w:val="auto"/>
          <w:sz w:val="28"/>
          <w:szCs w:val="28"/>
          <w:lang w:eastAsia="ru-RU"/>
        </w:rPr>
        <w:t xml:space="preserve">(реєстраційне посвідчення № </w:t>
      </w:r>
      <w:r w:rsidRPr="00E87CD9">
        <w:rPr>
          <w:color w:val="auto"/>
          <w:sz w:val="28"/>
          <w:szCs w:val="28"/>
          <w:shd w:val="clear" w:color="auto" w:fill="FFFFFF"/>
        </w:rPr>
        <w:t>UA/15621/01/01)</w:t>
      </w:r>
      <w:r w:rsidRPr="00E87CD9">
        <w:rPr>
          <w:color w:val="auto"/>
          <w:sz w:val="28"/>
          <w:szCs w:val="28"/>
        </w:rPr>
        <w:t>.</w:t>
      </w:r>
    </w:p>
    <w:p w:rsidR="00417DC7" w:rsidRPr="00E87CD9" w:rsidRDefault="00417DC7" w:rsidP="004372F8">
      <w:pPr>
        <w:ind w:firstLine="567"/>
        <w:jc w:val="both"/>
        <w:rPr>
          <w:color w:val="auto"/>
          <w:sz w:val="28"/>
          <w:szCs w:val="28"/>
        </w:rPr>
      </w:pPr>
      <w:r w:rsidRPr="00E87CD9">
        <w:rPr>
          <w:color w:val="auto"/>
          <w:sz w:val="28"/>
          <w:szCs w:val="28"/>
        </w:rPr>
        <w:t>На підставі проведеного дослідження визначена раціональна комбінація лікарських засобів для перорального застосування із знеболю</w:t>
      </w:r>
      <w:r w:rsidR="004372F8" w:rsidRPr="00E87CD9">
        <w:rPr>
          <w:color w:val="auto"/>
          <w:sz w:val="28"/>
          <w:szCs w:val="28"/>
        </w:rPr>
        <w:t>вальн</w:t>
      </w:r>
      <w:r w:rsidRPr="00E87CD9">
        <w:rPr>
          <w:color w:val="auto"/>
          <w:sz w:val="28"/>
          <w:szCs w:val="28"/>
        </w:rPr>
        <w:t xml:space="preserve">ою та хондропротекторною діями, яка включає </w:t>
      </w:r>
      <w:r w:rsidRPr="00E87CD9">
        <w:rPr>
          <w:iCs/>
          <w:color w:val="auto"/>
          <w:sz w:val="28"/>
          <w:szCs w:val="28"/>
        </w:rPr>
        <w:t>L-тироксин дозою 50-100 мг,диклофенак натрію дозою 150 мг та хондроїтину сульфат дозою 2 мл на добу при коморбідній патології ОА та ГІТ (</w:t>
      </w:r>
      <w:r w:rsidRPr="00E87CD9">
        <w:rPr>
          <w:bCs/>
          <w:color w:val="auto"/>
          <w:sz w:val="28"/>
          <w:szCs w:val="28"/>
          <w:shd w:val="clear" w:color="auto" w:fill="FFFFFF"/>
        </w:rPr>
        <w:t xml:space="preserve">патент України на корисну модель </w:t>
      </w:r>
      <w:r w:rsidRPr="00E87CD9">
        <w:rPr>
          <w:iCs/>
          <w:color w:val="auto"/>
          <w:sz w:val="28"/>
          <w:szCs w:val="28"/>
          <w:shd w:val="clear" w:color="auto" w:fill="FFFFFF"/>
          <w:lang w:eastAsia="ru-RU"/>
        </w:rPr>
        <w:t>№</w:t>
      </w:r>
      <w:r w:rsidRPr="00E87CD9">
        <w:rPr>
          <w:bCs/>
          <w:iCs/>
          <w:color w:val="auto"/>
          <w:sz w:val="28"/>
          <w:szCs w:val="28"/>
          <w:shd w:val="clear" w:color="auto" w:fill="FFFFFF"/>
          <w:lang w:eastAsia="ru-RU"/>
        </w:rPr>
        <w:t xml:space="preserve"> 137435</w:t>
      </w:r>
      <w:r w:rsidRPr="00E87CD9">
        <w:rPr>
          <w:rFonts w:eastAsia="Arial"/>
          <w:bCs/>
          <w:color w:val="auto"/>
          <w:sz w:val="28"/>
          <w:szCs w:val="28"/>
        </w:rPr>
        <w:t>).</w:t>
      </w:r>
    </w:p>
    <w:p w:rsidR="00417DC7" w:rsidRPr="00E87CD9" w:rsidRDefault="00417DC7" w:rsidP="004372F8">
      <w:pPr>
        <w:ind w:firstLine="567"/>
        <w:jc w:val="both"/>
        <w:rPr>
          <w:b/>
          <w:bCs/>
          <w:color w:val="auto"/>
          <w:sz w:val="28"/>
          <w:szCs w:val="28"/>
        </w:rPr>
      </w:pPr>
      <w:r w:rsidRPr="00E87CD9">
        <w:rPr>
          <w:color w:val="auto"/>
          <w:sz w:val="28"/>
          <w:szCs w:val="28"/>
          <w:shd w:val="clear" w:color="auto" w:fill="FFFFFF"/>
          <w:lang w:eastAsia="ru-RU"/>
        </w:rPr>
        <w:t>Інфо</w:t>
      </w:r>
      <w:r w:rsidRPr="00E87CD9">
        <w:rPr>
          <w:iCs/>
          <w:color w:val="auto"/>
          <w:sz w:val="28"/>
          <w:szCs w:val="28"/>
          <w:shd w:val="clear" w:color="auto" w:fill="FFFFFF"/>
          <w:lang w:eastAsia="ru-RU"/>
        </w:rPr>
        <w:t xml:space="preserve">рмаційними листами про нововведення </w:t>
      </w:r>
      <w:r w:rsidR="004372F8" w:rsidRPr="00E87CD9">
        <w:rPr>
          <w:iCs/>
          <w:color w:val="auto"/>
          <w:sz w:val="28"/>
          <w:szCs w:val="28"/>
          <w:shd w:val="clear" w:color="auto" w:fill="FFFFFF"/>
          <w:lang w:eastAsia="ru-RU"/>
        </w:rPr>
        <w:t>у</w:t>
      </w:r>
      <w:r w:rsidRPr="00E87CD9">
        <w:rPr>
          <w:iCs/>
          <w:color w:val="auto"/>
          <w:sz w:val="28"/>
          <w:szCs w:val="28"/>
          <w:shd w:val="clear" w:color="auto" w:fill="FFFFFF"/>
          <w:lang w:eastAsia="ru-RU"/>
        </w:rPr>
        <w:t xml:space="preserve"> системі охорони здоров’я </w:t>
      </w:r>
      <w:r w:rsidRPr="00E87CD9">
        <w:rPr>
          <w:color w:val="auto"/>
          <w:sz w:val="28"/>
          <w:szCs w:val="28"/>
        </w:rPr>
        <w:t>№ 65 від 2019</w:t>
      </w:r>
      <w:r w:rsidR="00430ECA" w:rsidRPr="00E87CD9">
        <w:rPr>
          <w:color w:val="auto"/>
          <w:sz w:val="28"/>
          <w:szCs w:val="28"/>
        </w:rPr>
        <w:t> </w:t>
      </w:r>
      <w:r w:rsidRPr="00E87CD9">
        <w:rPr>
          <w:color w:val="auto"/>
          <w:sz w:val="28"/>
          <w:szCs w:val="28"/>
        </w:rPr>
        <w:t>р. «Ефективне застосування комбінованих нестероїдних протизапальних засобів при лікуванні остеоартрозу та супутньому гіпотиреозі», № 66 від 2019</w:t>
      </w:r>
      <w:r w:rsidR="00430ECA" w:rsidRPr="00E87CD9">
        <w:rPr>
          <w:color w:val="auto"/>
          <w:sz w:val="28"/>
          <w:szCs w:val="28"/>
        </w:rPr>
        <w:t> </w:t>
      </w:r>
      <w:r w:rsidRPr="00E87CD9">
        <w:rPr>
          <w:color w:val="auto"/>
          <w:sz w:val="28"/>
          <w:szCs w:val="28"/>
        </w:rPr>
        <w:t>р. «Особливості використання хондро</w:t>
      </w:r>
      <w:r w:rsidR="00DE2E88" w:rsidRPr="00E87CD9">
        <w:rPr>
          <w:color w:val="auto"/>
          <w:sz w:val="28"/>
          <w:szCs w:val="28"/>
        </w:rPr>
        <w:t>ї</w:t>
      </w:r>
      <w:r w:rsidRPr="00E87CD9">
        <w:rPr>
          <w:color w:val="auto"/>
          <w:sz w:val="28"/>
          <w:szCs w:val="28"/>
        </w:rPr>
        <w:t xml:space="preserve">тину сульфату при лікуванні остеоартрозу на тлі гіпотиреозу» та </w:t>
      </w:r>
      <w:r w:rsidRPr="00E87CD9">
        <w:rPr>
          <w:bCs/>
          <w:iCs/>
          <w:color w:val="auto"/>
          <w:sz w:val="28"/>
          <w:szCs w:val="28"/>
          <w:highlight w:val="white"/>
          <w:lang w:eastAsia="ru-RU"/>
        </w:rPr>
        <w:t>№ 67 від 2019</w:t>
      </w:r>
      <w:r w:rsidRPr="00E87CD9">
        <w:rPr>
          <w:bCs/>
          <w:iCs/>
          <w:color w:val="auto"/>
          <w:sz w:val="28"/>
          <w:szCs w:val="28"/>
          <w:lang w:eastAsia="ru-RU"/>
        </w:rPr>
        <w:t xml:space="preserve"> р. «</w:t>
      </w:r>
      <w:r w:rsidRPr="00E87CD9">
        <w:rPr>
          <w:bCs/>
          <w:iCs/>
          <w:color w:val="auto"/>
          <w:sz w:val="28"/>
          <w:szCs w:val="28"/>
          <w:highlight w:val="white"/>
          <w:lang w:eastAsia="ru-RU"/>
        </w:rPr>
        <w:t>Раціональне застосування нестероїдних протизапальних засобів та хондропротекторів при лікуванні остеоартрозу на фоні гіпотиреозу»</w:t>
      </w:r>
      <w:r w:rsidRPr="00E87CD9">
        <w:rPr>
          <w:color w:val="auto"/>
          <w:sz w:val="28"/>
          <w:szCs w:val="28"/>
        </w:rPr>
        <w:t>надаються дані щодо раціонального призначення та особливостей застосування комбінації диклофенаку натрі</w:t>
      </w:r>
      <w:r w:rsidR="004372F8" w:rsidRPr="00E87CD9">
        <w:rPr>
          <w:color w:val="auto"/>
          <w:sz w:val="28"/>
          <w:szCs w:val="28"/>
        </w:rPr>
        <w:t>ю</w:t>
      </w:r>
      <w:r w:rsidRPr="00E87CD9">
        <w:rPr>
          <w:color w:val="auto"/>
          <w:sz w:val="28"/>
          <w:szCs w:val="28"/>
        </w:rPr>
        <w:t xml:space="preserve">, хондроїтину сульфату та </w:t>
      </w:r>
      <w:r w:rsidRPr="00E87CD9">
        <w:rPr>
          <w:iCs/>
          <w:color w:val="auto"/>
          <w:sz w:val="28"/>
          <w:szCs w:val="28"/>
        </w:rPr>
        <w:t xml:space="preserve">L-тироксину </w:t>
      </w:r>
      <w:r w:rsidR="004372F8" w:rsidRPr="00E87CD9">
        <w:rPr>
          <w:color w:val="auto"/>
          <w:sz w:val="28"/>
          <w:szCs w:val="28"/>
        </w:rPr>
        <w:t>заОА та</w:t>
      </w:r>
      <w:r w:rsidRPr="00E87CD9">
        <w:rPr>
          <w:color w:val="auto"/>
          <w:sz w:val="28"/>
          <w:szCs w:val="28"/>
        </w:rPr>
        <w:t xml:space="preserve"> супутньо</w:t>
      </w:r>
      <w:r w:rsidR="004372F8" w:rsidRPr="00E87CD9">
        <w:rPr>
          <w:color w:val="auto"/>
          <w:sz w:val="28"/>
          <w:szCs w:val="28"/>
        </w:rPr>
        <w:t xml:space="preserve">гоГІТ </w:t>
      </w:r>
      <w:r w:rsidRPr="00E87CD9">
        <w:rPr>
          <w:color w:val="auto"/>
          <w:sz w:val="28"/>
          <w:szCs w:val="28"/>
        </w:rPr>
        <w:t>для підвищення ефективності лікування та профілактики розвитку ускладнень.</w:t>
      </w:r>
    </w:p>
    <w:p w:rsidR="00417DC7" w:rsidRPr="00E87CD9" w:rsidRDefault="00417DC7" w:rsidP="00417DC7">
      <w:pPr>
        <w:ind w:firstLine="709"/>
        <w:jc w:val="both"/>
        <w:rPr>
          <w:b/>
          <w:color w:val="auto"/>
          <w:sz w:val="28"/>
          <w:szCs w:val="28"/>
        </w:rPr>
      </w:pPr>
      <w:r w:rsidRPr="00E87CD9">
        <w:rPr>
          <w:rStyle w:val="A20"/>
          <w:rFonts w:ascii="Times New Roman" w:hAnsi="Times New Roman" w:cs="Times New Roman"/>
          <w:b w:val="0"/>
          <w:iCs/>
          <w:color w:val="auto"/>
          <w:sz w:val="28"/>
          <w:szCs w:val="28"/>
        </w:rPr>
        <w:lastRenderedPageBreak/>
        <w:t>Результати проведених досліджень впроваджено в науково-педагогічну діяльність кафедр фармакології Запорізького державного медичного університету, Вінницького національного медичного університету ім. М.І.Пирогова, Івано-Франківського національного медичного університету, Одеського національного медичного університету, Національного фармацевтичного університету (м. Харків) та ДЗ «Дніпропетровська медична академія МОЗ України».</w:t>
      </w:r>
    </w:p>
    <w:p w:rsidR="00417DC7" w:rsidRPr="00E87CD9" w:rsidRDefault="00417DC7" w:rsidP="00502FED">
      <w:pPr>
        <w:pStyle w:val="a8"/>
        <w:ind w:left="0" w:firstLine="567"/>
        <w:rPr>
          <w:color w:val="auto"/>
        </w:rPr>
      </w:pPr>
      <w:r w:rsidRPr="00E87CD9">
        <w:rPr>
          <w:b/>
          <w:color w:val="auto"/>
        </w:rPr>
        <w:t>Особистий внесок здобувача.</w:t>
      </w:r>
      <w:r w:rsidRPr="00E87CD9">
        <w:rPr>
          <w:color w:val="auto"/>
        </w:rPr>
        <w:t xml:space="preserve">Дисертація є самостійно завершеною науковою працею. За участю наукового консультанта обраний напрямок дослідження, сформульовані мета та задачі, а також об’єм методичних підходів. Автором самостійно проведений інформаційно-патентний пошук, проведений аналіз літературних даних, відпрацьовані моделі та методи досліджень, проведені експериментальні дослідження, статистична обробка отриманих даних, систематизація отриманих результатів та їх наукова інтерпретація, сформульовані висновки та практичні рекомендації. Оформлення дисертаційної роботи та автореферату виконані дисертантом самостійно. Робота виконана на кафедрі фармакології та клінічної фармакології ДЗ «ДМА МОЗ України» (завідувач – д.мед.н., професор В.І. Жилюк). Комп’ютерне моделювання </w:t>
      </w:r>
      <w:r w:rsidR="009E3D8E" w:rsidRPr="00E87CD9">
        <w:rPr>
          <w:color w:val="auto"/>
        </w:rPr>
        <w:t xml:space="preserve">біофармацевтичної взаємодії </w:t>
      </w:r>
      <w:r w:rsidRPr="00E87CD9">
        <w:rPr>
          <w:color w:val="auto"/>
        </w:rPr>
        <w:t xml:space="preserve">досліджуваних препаратів проведені за консультативної допомоги завідувача відділу фізико-хімічної фармакології </w:t>
      </w:r>
      <w:bookmarkStart w:id="0" w:name="__DdeLink__1329_2041698309"/>
      <w:r w:rsidRPr="00E87CD9">
        <w:rPr>
          <w:color w:val="auto"/>
        </w:rPr>
        <w:t>Фізико-хімічного інституту ім. О.В. Богатського НАН України</w:t>
      </w:r>
      <w:bookmarkEnd w:id="0"/>
      <w:r w:rsidRPr="00E87CD9">
        <w:rPr>
          <w:color w:val="auto"/>
        </w:rPr>
        <w:t>, академіка НАМН України, проф. М.Я. Головенко та с.н.с., д.б.н. В.Б. Ларіонова. Дослідження гістоморфологічних змін кісткової та хрящової тканини проведені у ДЗ «ДМА МОЗ України» в лабораторії кафедри патологічної анатомії і судової медицини (завідувач – к.мед.н., доцент О.А. Алєксєєнко) та лабораторії електронної мікроскопії (завідувач – д.мед.н., професор І.В. Твердохліб).</w:t>
      </w:r>
    </w:p>
    <w:p w:rsidR="00417DC7" w:rsidRPr="00E87CD9" w:rsidRDefault="00417DC7" w:rsidP="00502FED">
      <w:pPr>
        <w:pStyle w:val="a8"/>
        <w:ind w:left="0" w:firstLine="567"/>
        <w:rPr>
          <w:b/>
          <w:color w:val="auto"/>
        </w:rPr>
      </w:pPr>
      <w:r w:rsidRPr="00E87CD9">
        <w:rPr>
          <w:b/>
          <w:color w:val="auto"/>
        </w:rPr>
        <w:t xml:space="preserve">Апробація результатів дисертації. </w:t>
      </w:r>
      <w:r w:rsidRPr="00E87CD9">
        <w:rPr>
          <w:color w:val="auto"/>
        </w:rPr>
        <w:t xml:space="preserve">Матеріали дисертаційної роботи представлені на: XIII Северо-Западной научно-практической конференции по ревматологии (Санкт-Петербург, 2013), </w:t>
      </w:r>
      <w:r w:rsidRPr="00E87CD9">
        <w:rPr>
          <w:rFonts w:eastAsia="PetersburgC-Italic"/>
          <w:color w:val="auto"/>
        </w:rPr>
        <w:t xml:space="preserve">XVІ Міжнародній конференції </w:t>
      </w:r>
      <w:r w:rsidRPr="00E87CD9">
        <w:rPr>
          <w:color w:val="auto"/>
        </w:rPr>
        <w:t>«</w:t>
      </w:r>
      <w:r w:rsidRPr="00E87CD9">
        <w:rPr>
          <w:rFonts w:eastAsia="PetersburgC-Italic"/>
          <w:color w:val="auto"/>
        </w:rPr>
        <w:t>Современные стратегия и тактика в неврологии</w:t>
      </w:r>
      <w:r w:rsidRPr="00E87CD9">
        <w:rPr>
          <w:color w:val="auto"/>
        </w:rPr>
        <w:t>»</w:t>
      </w:r>
      <w:r w:rsidRPr="00E87CD9">
        <w:rPr>
          <w:rFonts w:eastAsia="PetersburgC-Italic"/>
          <w:color w:val="auto"/>
        </w:rPr>
        <w:t xml:space="preserve"> (</w:t>
      </w:r>
      <w:r w:rsidRPr="00E87CD9">
        <w:rPr>
          <w:color w:val="auto"/>
        </w:rPr>
        <w:t xml:space="preserve">Трускавець, 2014), ХІX Міжнародному медичному конгресі студентів та молодих вчених (Тернопіль, 2015), </w:t>
      </w:r>
      <w:r w:rsidRPr="00E87CD9">
        <w:rPr>
          <w:rStyle w:val="af5"/>
          <w:rFonts w:eastAsia="Tahoma"/>
          <w:b w:val="0"/>
          <w:color w:val="auto"/>
        </w:rPr>
        <w:t>н</w:t>
      </w:r>
      <w:r w:rsidRPr="00E87CD9">
        <w:rPr>
          <w:rStyle w:val="af5"/>
          <w:b w:val="0"/>
          <w:color w:val="auto"/>
        </w:rPr>
        <w:t xml:space="preserve">ауково-практичній конференції </w:t>
      </w:r>
      <w:r w:rsidRPr="00E87CD9">
        <w:rPr>
          <w:rStyle w:val="A20"/>
          <w:rFonts w:ascii="Times New Roman" w:hAnsi="Times New Roman" w:cs="Times New Roman"/>
          <w:b w:val="0"/>
          <w:color w:val="auto"/>
          <w:sz w:val="28"/>
          <w:szCs w:val="28"/>
        </w:rPr>
        <w:t>«Філатовські читання - 2016» (Одеса, 2016),</w:t>
      </w:r>
      <w:r w:rsidRPr="00E87CD9">
        <w:rPr>
          <w:rFonts w:eastAsia="Calibri"/>
          <w:color w:val="auto"/>
        </w:rPr>
        <w:t xml:space="preserve"> V Національному з’їзді фармакологів України (Запоріжжя, 2017), </w:t>
      </w:r>
      <w:r w:rsidRPr="00E87CD9">
        <w:rPr>
          <w:rFonts w:eastAsia="Calibri-Bold"/>
          <w:color w:val="auto"/>
        </w:rPr>
        <w:t>I Міжнародному конгресі асоціації</w:t>
      </w:r>
      <w:r w:rsidRPr="00E87CD9">
        <w:rPr>
          <w:rFonts w:eastAsia="Calibri"/>
          <w:color w:val="auto"/>
        </w:rPr>
        <w:t xml:space="preserve"> ревмоортопедів (Воронеж, 2017), </w:t>
      </w:r>
      <w:r w:rsidRPr="00E87CD9">
        <w:rPr>
          <w:rFonts w:eastAsia="TimesNewRomanPSMT"/>
          <w:color w:val="auto"/>
        </w:rPr>
        <w:t xml:space="preserve">ІХ Всеукраїнській науково-практичній конференції </w:t>
      </w:r>
      <w:r w:rsidRPr="00E87CD9">
        <w:rPr>
          <w:rStyle w:val="A20"/>
          <w:rFonts w:ascii="Times New Roman" w:hAnsi="Times New Roman" w:cs="Times New Roman"/>
          <w:color w:val="auto"/>
          <w:sz w:val="28"/>
          <w:szCs w:val="28"/>
        </w:rPr>
        <w:t>«</w:t>
      </w:r>
      <w:r w:rsidRPr="00E87CD9">
        <w:rPr>
          <w:rFonts w:eastAsia="TimesNewRomanPSMT"/>
          <w:color w:val="auto"/>
        </w:rPr>
        <w:t>Сучасні аспекти клінічної фармакології на тлі досягнень доказової медицини</w:t>
      </w:r>
      <w:r w:rsidRPr="00E87CD9">
        <w:rPr>
          <w:rStyle w:val="A20"/>
          <w:rFonts w:ascii="Times New Roman" w:hAnsi="Times New Roman" w:cs="Times New Roman"/>
          <w:color w:val="auto"/>
          <w:sz w:val="28"/>
          <w:szCs w:val="28"/>
        </w:rPr>
        <w:t>»</w:t>
      </w:r>
      <w:r w:rsidRPr="00E87CD9">
        <w:rPr>
          <w:rFonts w:eastAsia="TimesNewRomanPSMT"/>
          <w:color w:val="auto"/>
        </w:rPr>
        <w:t xml:space="preserve"> (Вінниця, 2017), </w:t>
      </w:r>
      <w:r w:rsidRPr="00E87CD9">
        <w:rPr>
          <w:rStyle w:val="af5"/>
          <w:b w:val="0"/>
          <w:color w:val="auto"/>
        </w:rPr>
        <w:t xml:space="preserve">International scientific and practical conference «Prospects for the development of medicine in EU countries and Ukraine» (Wloclawek, Republic of Poland, 2018), </w:t>
      </w:r>
      <w:r w:rsidRPr="00E87CD9">
        <w:rPr>
          <w:rStyle w:val="af5"/>
          <w:rFonts w:eastAsia="PetersburgC-Italic"/>
          <w:b w:val="0"/>
          <w:color w:val="auto"/>
        </w:rPr>
        <w:t>н</w:t>
      </w:r>
      <w:r w:rsidRPr="00E87CD9">
        <w:rPr>
          <w:color w:val="auto"/>
        </w:rPr>
        <w:t xml:space="preserve">аучно-практической конференции с международным участием, посвященной 90-летию со дня рождения профессора Н.П. Демичева(Астрахань, 2019), </w:t>
      </w:r>
      <w:r w:rsidRPr="00E87CD9">
        <w:rPr>
          <w:rFonts w:eastAsia="TimesNewRoman"/>
          <w:color w:val="auto"/>
        </w:rPr>
        <w:t>міжвузівськійнауково</w:t>
      </w:r>
      <w:r w:rsidRPr="00E87CD9">
        <w:rPr>
          <w:color w:val="auto"/>
        </w:rPr>
        <w:t>-</w:t>
      </w:r>
      <w:r w:rsidRPr="00E87CD9">
        <w:rPr>
          <w:rFonts w:eastAsia="TimesNewRoman"/>
          <w:color w:val="auto"/>
        </w:rPr>
        <w:t>практичнійконференціїмолодих учених та студентів</w:t>
      </w:r>
      <w:r w:rsidRPr="00E87CD9">
        <w:rPr>
          <w:rStyle w:val="af5"/>
          <w:color w:val="auto"/>
        </w:rPr>
        <w:t>«</w:t>
      </w:r>
      <w:r w:rsidRPr="00E87CD9">
        <w:rPr>
          <w:rFonts w:eastAsia="TimesNewRoman"/>
          <w:color w:val="auto"/>
        </w:rPr>
        <w:t>Фізіологічні та біохімічні механізми розвитку і корекціїпатологічних станів</w:t>
      </w:r>
      <w:r w:rsidRPr="00E87CD9">
        <w:rPr>
          <w:rStyle w:val="af5"/>
          <w:b w:val="0"/>
          <w:color w:val="auto"/>
        </w:rPr>
        <w:t>» (</w:t>
      </w:r>
      <w:r w:rsidRPr="00E87CD9">
        <w:rPr>
          <w:rFonts w:eastAsia="TimesNewRoman"/>
          <w:color w:val="auto"/>
        </w:rPr>
        <w:t>Харків</w:t>
      </w:r>
      <w:r w:rsidRPr="00E87CD9">
        <w:rPr>
          <w:color w:val="auto"/>
        </w:rPr>
        <w:t xml:space="preserve">, 2019), </w:t>
      </w:r>
      <w:r w:rsidRPr="00E87CD9">
        <w:rPr>
          <w:rStyle w:val="af5"/>
          <w:rFonts w:eastAsia="PetersburgC-Italic"/>
          <w:b w:val="0"/>
          <w:color w:val="auto"/>
        </w:rPr>
        <w:t xml:space="preserve">Міжнародній </w:t>
      </w:r>
      <w:r w:rsidRPr="00E87CD9">
        <w:rPr>
          <w:rStyle w:val="af5"/>
          <w:rFonts w:eastAsia="Tahoma"/>
          <w:b w:val="0"/>
          <w:color w:val="auto"/>
        </w:rPr>
        <w:t>н</w:t>
      </w:r>
      <w:r w:rsidRPr="00E87CD9">
        <w:rPr>
          <w:rStyle w:val="af5"/>
          <w:b w:val="0"/>
          <w:color w:val="auto"/>
        </w:rPr>
        <w:t>ауково-практичній конференції</w:t>
      </w:r>
      <w:r w:rsidRPr="00E87CD9">
        <w:rPr>
          <w:rStyle w:val="A20"/>
          <w:rFonts w:ascii="Times New Roman" w:hAnsi="Times New Roman" w:cs="Times New Roman"/>
          <w:b w:val="0"/>
          <w:color w:val="auto"/>
          <w:sz w:val="28"/>
          <w:szCs w:val="28"/>
        </w:rPr>
        <w:t xml:space="preserve"> «Сучасні стандарти діагностики та лікування захворювань внутрішніх органів» (Івано-Франківськ, 2019), LXXIII </w:t>
      </w:r>
      <w:r w:rsidRPr="00E87CD9">
        <w:rPr>
          <w:rStyle w:val="af5"/>
          <w:rFonts w:eastAsia="PetersburgC-Italic"/>
          <w:b w:val="0"/>
          <w:color w:val="auto"/>
        </w:rPr>
        <w:t xml:space="preserve">Міжнародній </w:t>
      </w:r>
      <w:r w:rsidRPr="00E87CD9">
        <w:rPr>
          <w:rStyle w:val="af5"/>
          <w:rFonts w:eastAsia="Tahoma"/>
          <w:b w:val="0"/>
          <w:color w:val="auto"/>
        </w:rPr>
        <w:t>н</w:t>
      </w:r>
      <w:r w:rsidRPr="00E87CD9">
        <w:rPr>
          <w:rStyle w:val="af5"/>
          <w:b w:val="0"/>
          <w:color w:val="auto"/>
        </w:rPr>
        <w:t xml:space="preserve">ауково-практичній </w:t>
      </w:r>
      <w:r w:rsidRPr="00E87CD9">
        <w:rPr>
          <w:rStyle w:val="af5"/>
          <w:b w:val="0"/>
          <w:color w:val="auto"/>
        </w:rPr>
        <w:lastRenderedPageBreak/>
        <w:t>конференції</w:t>
      </w:r>
      <w:r w:rsidRPr="00E87CD9">
        <w:rPr>
          <w:rStyle w:val="A20"/>
          <w:rFonts w:ascii="Times New Roman" w:hAnsi="Times New Roman" w:cs="Times New Roman"/>
          <w:color w:val="auto"/>
          <w:sz w:val="28"/>
          <w:szCs w:val="28"/>
        </w:rPr>
        <w:t>«</w:t>
      </w:r>
      <w:r w:rsidRPr="00E87CD9">
        <w:rPr>
          <w:color w:val="auto"/>
        </w:rPr>
        <w:t>Актуальные проблемы современной медицины и фармации 2019</w:t>
      </w:r>
      <w:r w:rsidRPr="00E87CD9">
        <w:rPr>
          <w:rStyle w:val="A20"/>
          <w:rFonts w:ascii="Times New Roman" w:hAnsi="Times New Roman" w:cs="Times New Roman"/>
          <w:b w:val="0"/>
          <w:color w:val="auto"/>
          <w:sz w:val="28"/>
          <w:szCs w:val="28"/>
        </w:rPr>
        <w:t>» (</w:t>
      </w:r>
      <w:r w:rsidRPr="00E87CD9">
        <w:rPr>
          <w:color w:val="auto"/>
        </w:rPr>
        <w:t xml:space="preserve">Мінськ, Білорусь, 2019), науково-освітній конференції </w:t>
      </w:r>
      <w:r w:rsidRPr="00E87CD9">
        <w:rPr>
          <w:rFonts w:eastAsia="Calibri"/>
          <w:color w:val="auto"/>
        </w:rPr>
        <w:t>«Научные достижения и современные технологии в российской травматологии и ортопедии» (</w:t>
      </w:r>
      <w:r w:rsidRPr="00E87CD9">
        <w:rPr>
          <w:color w:val="auto"/>
        </w:rPr>
        <w:t xml:space="preserve">Омск, 2019), </w:t>
      </w:r>
      <w:r w:rsidRPr="00E87CD9">
        <w:rPr>
          <w:rStyle w:val="A20"/>
          <w:rFonts w:ascii="Times New Roman" w:hAnsi="Times New Roman" w:cs="Times New Roman"/>
          <w:b w:val="0"/>
          <w:color w:val="auto"/>
          <w:sz w:val="28"/>
          <w:szCs w:val="28"/>
        </w:rPr>
        <w:t xml:space="preserve">International scientific conference «Medicine under the modern conditions of integration development of European countries» (Lublin, </w:t>
      </w:r>
      <w:r w:rsidRPr="00E87CD9">
        <w:rPr>
          <w:rStyle w:val="af5"/>
          <w:b w:val="0"/>
          <w:color w:val="auto"/>
        </w:rPr>
        <w:t>Republic of Poland,</w:t>
      </w:r>
      <w:r w:rsidRPr="00E87CD9">
        <w:rPr>
          <w:rStyle w:val="A20"/>
          <w:rFonts w:ascii="Times New Roman" w:hAnsi="Times New Roman" w:cs="Times New Roman"/>
          <w:b w:val="0"/>
          <w:color w:val="auto"/>
          <w:sz w:val="28"/>
          <w:szCs w:val="28"/>
        </w:rPr>
        <w:t xml:space="preserve"> 2019), III Міжнародному конгресі асоціації ревмоортопедів (Воронеж, 2019), </w:t>
      </w:r>
      <w:r w:rsidRPr="00E87CD9">
        <w:rPr>
          <w:rStyle w:val="af5"/>
          <w:rFonts w:eastAsia="PetersburgC-Italic"/>
          <w:b w:val="0"/>
          <w:color w:val="auto"/>
        </w:rPr>
        <w:t xml:space="preserve">міжнародній </w:t>
      </w:r>
      <w:r w:rsidRPr="00E87CD9">
        <w:rPr>
          <w:rStyle w:val="af5"/>
          <w:rFonts w:eastAsia="Tahoma"/>
          <w:b w:val="0"/>
          <w:color w:val="auto"/>
        </w:rPr>
        <w:t>н</w:t>
      </w:r>
      <w:r w:rsidRPr="00E87CD9">
        <w:rPr>
          <w:rStyle w:val="af5"/>
          <w:b w:val="0"/>
          <w:color w:val="auto"/>
        </w:rPr>
        <w:t>ауково-практичній конференції</w:t>
      </w:r>
      <w:r w:rsidRPr="00E87CD9">
        <w:rPr>
          <w:color w:val="auto"/>
        </w:rPr>
        <w:t xml:space="preserve"> «Илизаровские чтения» «Осложнения в ортопедии и травматологии. Клинические и экспериментальные аспекты» (Курган, 2019), н</w:t>
      </w:r>
      <w:r w:rsidRPr="00E87CD9">
        <w:rPr>
          <w:rStyle w:val="A20"/>
          <w:rFonts w:ascii="Times New Roman" w:hAnsi="Times New Roman" w:cs="Times New Roman"/>
          <w:b w:val="0"/>
          <w:color w:val="auto"/>
          <w:sz w:val="28"/>
          <w:szCs w:val="28"/>
        </w:rPr>
        <w:t xml:space="preserve">ауково-практичній конференції «Новітні тенденції в діагностиці та лікуванні внутрішніх хвороб» (Харків, 2019), X Всеукраїнській науково-практичній конференції «Сучасна клінічна фармакологія в фармакотерапії та профілактиці з позицій доказової медицини» (Вінниця, 2019), </w:t>
      </w:r>
      <w:r w:rsidRPr="00E87CD9">
        <w:rPr>
          <w:rStyle w:val="af5"/>
          <w:b w:val="0"/>
          <w:color w:val="auto"/>
          <w:lang w:eastAsia="uk-UA"/>
        </w:rPr>
        <w:t xml:space="preserve">науково-практичній інтернет-конференції </w:t>
      </w:r>
      <w:r w:rsidRPr="00E87CD9">
        <w:rPr>
          <w:rStyle w:val="A20"/>
          <w:rFonts w:ascii="Times New Roman" w:hAnsi="Times New Roman" w:cs="Times New Roman"/>
          <w:b w:val="0"/>
          <w:color w:val="auto"/>
          <w:sz w:val="28"/>
          <w:szCs w:val="28"/>
        </w:rPr>
        <w:t>«</w:t>
      </w:r>
      <w:r w:rsidRPr="00E87CD9">
        <w:rPr>
          <w:rStyle w:val="af5"/>
          <w:b w:val="0"/>
          <w:color w:val="auto"/>
          <w:lang w:eastAsia="uk-UA"/>
        </w:rPr>
        <w:t>Розвиток природничих наук як основа новітніх досягнень у медицині</w:t>
      </w:r>
      <w:r w:rsidRPr="00E87CD9">
        <w:rPr>
          <w:rStyle w:val="A20"/>
          <w:rFonts w:ascii="Times New Roman" w:hAnsi="Times New Roman" w:cs="Times New Roman"/>
          <w:b w:val="0"/>
          <w:color w:val="auto"/>
          <w:sz w:val="28"/>
          <w:szCs w:val="28"/>
        </w:rPr>
        <w:t>» (Чернівці,</w:t>
      </w:r>
      <w:r w:rsidRPr="00E87CD9">
        <w:rPr>
          <w:rStyle w:val="af5"/>
          <w:b w:val="0"/>
          <w:color w:val="auto"/>
          <w:lang w:eastAsia="uk-UA"/>
        </w:rPr>
        <w:t xml:space="preserve"> 2019), </w:t>
      </w:r>
      <w:r w:rsidRPr="00E87CD9">
        <w:rPr>
          <w:rStyle w:val="A20"/>
          <w:rFonts w:ascii="Times New Roman" w:hAnsi="Times New Roman" w:cs="Times New Roman"/>
          <w:b w:val="0"/>
          <w:color w:val="auto"/>
          <w:sz w:val="28"/>
          <w:szCs w:val="28"/>
        </w:rPr>
        <w:t>ІV Міжнародній науково-практичній конференції «Ліки – людині. Сучасні проблеми фармакотерапії і призначення лікарських засобів» (Харків, 2020), Всеукраїнській науково-практичній інтернет-конференції «Сучасний стан та перспективи розвитку природничих дисциплін в медичні</w:t>
      </w:r>
      <w:r w:rsidR="009E3D8E" w:rsidRPr="00E87CD9">
        <w:rPr>
          <w:rStyle w:val="A20"/>
          <w:rFonts w:ascii="Times New Roman" w:hAnsi="Times New Roman" w:cs="Times New Roman"/>
          <w:b w:val="0"/>
          <w:color w:val="auto"/>
          <w:sz w:val="28"/>
          <w:szCs w:val="28"/>
        </w:rPr>
        <w:t xml:space="preserve">й освіті» (Кропивницький, 2020), V Міжнародній науково-практичній конференції «Ліки – людині. Сучасні проблеми фармакотерапії </w:t>
      </w:r>
      <w:r w:rsidR="002D7AFA" w:rsidRPr="00E87CD9">
        <w:rPr>
          <w:rStyle w:val="A20"/>
          <w:rFonts w:ascii="Times New Roman" w:hAnsi="Times New Roman" w:cs="Times New Roman"/>
          <w:b w:val="0"/>
          <w:color w:val="auto"/>
          <w:sz w:val="28"/>
          <w:szCs w:val="28"/>
        </w:rPr>
        <w:t>та</w:t>
      </w:r>
      <w:r w:rsidR="009E3D8E" w:rsidRPr="00E87CD9">
        <w:rPr>
          <w:rStyle w:val="A20"/>
          <w:rFonts w:ascii="Times New Roman" w:hAnsi="Times New Roman" w:cs="Times New Roman"/>
          <w:b w:val="0"/>
          <w:color w:val="auto"/>
          <w:sz w:val="28"/>
          <w:szCs w:val="28"/>
        </w:rPr>
        <w:t xml:space="preserve"> призначення лікарських засобів» (Харків, 2021), ІІ Всеукраїнській науково-практичній інтернет-конференції «Сучасний стан та перспективи розвитку природничих дисциплін в медичній освіті» (Кропивницький, 2021).</w:t>
      </w:r>
    </w:p>
    <w:p w:rsidR="00417DC7" w:rsidRPr="00E87CD9" w:rsidRDefault="00417DC7" w:rsidP="00417DC7">
      <w:pPr>
        <w:pStyle w:val="a8"/>
        <w:ind w:left="0" w:firstLine="709"/>
        <w:rPr>
          <w:color w:val="auto"/>
        </w:rPr>
      </w:pPr>
      <w:r w:rsidRPr="00E87CD9">
        <w:rPr>
          <w:b/>
          <w:color w:val="auto"/>
        </w:rPr>
        <w:t xml:space="preserve">Публікації. </w:t>
      </w:r>
      <w:r w:rsidRPr="00E87CD9">
        <w:rPr>
          <w:color w:val="auto"/>
        </w:rPr>
        <w:t>Результати досліджень, що викладені у дисертації, знайшли відображення у 5</w:t>
      </w:r>
      <w:r w:rsidR="00BF5E27" w:rsidRPr="00E87CD9">
        <w:rPr>
          <w:color w:val="auto"/>
        </w:rPr>
        <w:t>3</w:t>
      </w:r>
      <w:r w:rsidRPr="00E87CD9">
        <w:rPr>
          <w:color w:val="auto"/>
        </w:rPr>
        <w:t xml:space="preserve"> наукових працях, з них: 2</w:t>
      </w:r>
      <w:r w:rsidR="00BF5E27" w:rsidRPr="00E87CD9">
        <w:rPr>
          <w:color w:val="auto"/>
        </w:rPr>
        <w:t>2</w:t>
      </w:r>
      <w:r w:rsidRPr="00E87CD9">
        <w:rPr>
          <w:color w:val="auto"/>
        </w:rPr>
        <w:t xml:space="preserve"> статті у фахових наукових журналах, рекомендованих МОН України (з них 6 - закордонних), 1 монографія, 1 патент </w:t>
      </w:r>
      <w:r w:rsidRPr="00E87CD9">
        <w:rPr>
          <w:color w:val="auto"/>
          <w:highlight w:val="white"/>
          <w:lang w:eastAsia="ru-RU"/>
        </w:rPr>
        <w:t>України на корисну модель</w:t>
      </w:r>
      <w:r w:rsidRPr="00E87CD9">
        <w:rPr>
          <w:color w:val="auto"/>
        </w:rPr>
        <w:t>, 1 нововведення, 2</w:t>
      </w:r>
      <w:r w:rsidR="00AB2692" w:rsidRPr="00E87CD9">
        <w:rPr>
          <w:color w:val="auto"/>
        </w:rPr>
        <w:t>3</w:t>
      </w:r>
      <w:r w:rsidRPr="00E87CD9">
        <w:rPr>
          <w:color w:val="auto"/>
        </w:rPr>
        <w:t xml:space="preserve"> робот</w:t>
      </w:r>
      <w:r w:rsidR="00AB2692" w:rsidRPr="00E87CD9">
        <w:rPr>
          <w:color w:val="auto"/>
        </w:rPr>
        <w:t>и</w:t>
      </w:r>
      <w:r w:rsidRPr="00E87CD9">
        <w:rPr>
          <w:color w:val="auto"/>
        </w:rPr>
        <w:t xml:space="preserve"> у матеріалах з’їздів, конференцій, конгресів, видано 3 інформаційні листи.</w:t>
      </w:r>
    </w:p>
    <w:p w:rsidR="00417DC7" w:rsidRPr="00E87CD9" w:rsidRDefault="00417DC7" w:rsidP="00417DC7">
      <w:pPr>
        <w:pStyle w:val="a8"/>
        <w:ind w:left="0" w:firstLine="709"/>
        <w:rPr>
          <w:color w:val="auto"/>
        </w:rPr>
      </w:pPr>
      <w:r w:rsidRPr="00E87CD9">
        <w:rPr>
          <w:b/>
          <w:bCs/>
          <w:color w:val="auto"/>
        </w:rPr>
        <w:t>Структура дисертації.</w:t>
      </w:r>
      <w:r w:rsidRPr="00E87CD9">
        <w:rPr>
          <w:color w:val="auto"/>
        </w:rPr>
        <w:t>Дисертація викладена на 3</w:t>
      </w:r>
      <w:r w:rsidR="00766BC1" w:rsidRPr="00E87CD9">
        <w:rPr>
          <w:color w:val="auto"/>
        </w:rPr>
        <w:t>82</w:t>
      </w:r>
      <w:r w:rsidRPr="00E87CD9">
        <w:rPr>
          <w:color w:val="auto"/>
        </w:rPr>
        <w:t xml:space="preserve"> сторінках (основний обсяг становить </w:t>
      </w:r>
      <w:r w:rsidR="00766BC1" w:rsidRPr="00E87CD9">
        <w:rPr>
          <w:color w:val="auto"/>
        </w:rPr>
        <w:t>274</w:t>
      </w:r>
      <w:r w:rsidRPr="00E87CD9">
        <w:rPr>
          <w:color w:val="auto"/>
        </w:rPr>
        <w:t xml:space="preserve"> сторінок) і складається зі вступу, огляду літератури, опису матеріалів та методів дослідження, 6 розділів власних досліджень, аналізу й узагальнення результатів досліджень, висновків, списку використаних джерел літератури (всього </w:t>
      </w:r>
      <w:r w:rsidR="00CF0AFC" w:rsidRPr="00E87CD9">
        <w:rPr>
          <w:color w:val="auto"/>
        </w:rPr>
        <w:t>467</w:t>
      </w:r>
      <w:r w:rsidRPr="00E87CD9">
        <w:rPr>
          <w:color w:val="auto"/>
        </w:rPr>
        <w:t xml:space="preserve"> найменувань, з них </w:t>
      </w:r>
      <w:r w:rsidR="00CF0AFC" w:rsidRPr="00E87CD9">
        <w:rPr>
          <w:color w:val="auto"/>
        </w:rPr>
        <w:t>158</w:t>
      </w:r>
      <w:r w:rsidRPr="00E87CD9">
        <w:rPr>
          <w:color w:val="auto"/>
        </w:rPr>
        <w:t xml:space="preserve"> кирилицею та </w:t>
      </w:r>
      <w:r w:rsidR="00CF0AFC" w:rsidRPr="00E87CD9">
        <w:rPr>
          <w:color w:val="auto"/>
        </w:rPr>
        <w:t>309</w:t>
      </w:r>
      <w:r w:rsidRPr="00E87CD9">
        <w:rPr>
          <w:color w:val="auto"/>
        </w:rPr>
        <w:t xml:space="preserve"> латиницею), додатків. Робота проілюстрована </w:t>
      </w:r>
      <w:r w:rsidR="006A4B22" w:rsidRPr="00E87CD9">
        <w:rPr>
          <w:color w:val="auto"/>
        </w:rPr>
        <w:t>28</w:t>
      </w:r>
      <w:r w:rsidRPr="00E87CD9">
        <w:rPr>
          <w:color w:val="auto"/>
        </w:rPr>
        <w:t xml:space="preserve"> таблицями та </w:t>
      </w:r>
      <w:r w:rsidR="006A4B22" w:rsidRPr="00E87CD9">
        <w:rPr>
          <w:color w:val="auto"/>
        </w:rPr>
        <w:t>91</w:t>
      </w:r>
      <w:r w:rsidRPr="00E87CD9">
        <w:rPr>
          <w:color w:val="auto"/>
        </w:rPr>
        <w:t xml:space="preserve"> рисунк</w:t>
      </w:r>
      <w:r w:rsidR="006A4B22" w:rsidRPr="00E87CD9">
        <w:rPr>
          <w:color w:val="auto"/>
        </w:rPr>
        <w:t>ом</w:t>
      </w:r>
      <w:r w:rsidRPr="00E87CD9">
        <w:rPr>
          <w:color w:val="auto"/>
        </w:rPr>
        <w:t>.</w:t>
      </w:r>
    </w:p>
    <w:p w:rsidR="005F3E6A" w:rsidRPr="00E87CD9" w:rsidRDefault="005F3E6A" w:rsidP="00417DC7">
      <w:pPr>
        <w:pStyle w:val="a8"/>
        <w:ind w:left="0" w:firstLine="709"/>
        <w:jc w:val="center"/>
        <w:rPr>
          <w:b/>
          <w:color w:val="auto"/>
        </w:rPr>
      </w:pPr>
    </w:p>
    <w:p w:rsidR="00417DC7" w:rsidRPr="00E87CD9" w:rsidRDefault="00417DC7" w:rsidP="00417DC7">
      <w:pPr>
        <w:pStyle w:val="a8"/>
        <w:ind w:left="0" w:firstLine="709"/>
        <w:jc w:val="center"/>
        <w:rPr>
          <w:b/>
          <w:color w:val="auto"/>
        </w:rPr>
      </w:pPr>
      <w:r w:rsidRPr="00E87CD9">
        <w:rPr>
          <w:b/>
          <w:color w:val="auto"/>
        </w:rPr>
        <w:t>ОСНОВНИЙ ЗМІСТ РОБОТИ</w:t>
      </w:r>
    </w:p>
    <w:p w:rsidR="00417DC7" w:rsidRPr="00E87CD9" w:rsidRDefault="00417DC7" w:rsidP="00417DC7">
      <w:pPr>
        <w:ind w:firstLine="709"/>
        <w:jc w:val="both"/>
        <w:rPr>
          <w:color w:val="auto"/>
          <w:sz w:val="28"/>
          <w:szCs w:val="28"/>
        </w:rPr>
      </w:pPr>
      <w:r w:rsidRPr="00E87CD9">
        <w:rPr>
          <w:b/>
          <w:color w:val="auto"/>
          <w:sz w:val="28"/>
          <w:szCs w:val="28"/>
        </w:rPr>
        <w:t>Матеріали та методи дослідження</w:t>
      </w:r>
      <w:r w:rsidRPr="00E87CD9">
        <w:rPr>
          <w:color w:val="auto"/>
          <w:sz w:val="28"/>
          <w:szCs w:val="28"/>
        </w:rPr>
        <w:t>. В роботі на різних етапах експериментів використовувались дози дослідних препаратів</w:t>
      </w:r>
      <w:r w:rsidR="00057C23" w:rsidRPr="00E87CD9">
        <w:rPr>
          <w:color w:val="auto"/>
          <w:sz w:val="28"/>
          <w:szCs w:val="28"/>
        </w:rPr>
        <w:t>,</w:t>
      </w:r>
      <w:r w:rsidRPr="00E87CD9">
        <w:rPr>
          <w:color w:val="auto"/>
          <w:sz w:val="28"/>
          <w:szCs w:val="28"/>
        </w:rPr>
        <w:t xml:space="preserve"> запозичені з літературних джерел, </w:t>
      </w:r>
      <w:r w:rsidR="00502FED" w:rsidRPr="00E87CD9">
        <w:rPr>
          <w:color w:val="auto"/>
          <w:sz w:val="28"/>
          <w:szCs w:val="28"/>
        </w:rPr>
        <w:t>що</w:t>
      </w:r>
      <w:r w:rsidRPr="00E87CD9">
        <w:rPr>
          <w:color w:val="auto"/>
          <w:sz w:val="28"/>
          <w:szCs w:val="28"/>
        </w:rPr>
        <w:t xml:space="preserve"> знаходилися в діапазоні терапевтичних </w:t>
      </w:r>
      <w:r w:rsidR="00057C23" w:rsidRPr="00E87CD9">
        <w:rPr>
          <w:color w:val="auto"/>
          <w:sz w:val="28"/>
          <w:szCs w:val="28"/>
        </w:rPr>
        <w:t xml:space="preserve">доз </w:t>
      </w:r>
      <w:r w:rsidRPr="00E87CD9">
        <w:rPr>
          <w:color w:val="auto"/>
          <w:sz w:val="28"/>
          <w:szCs w:val="28"/>
        </w:rPr>
        <w:t xml:space="preserve">(ЕД50) та рекомендовані </w:t>
      </w:r>
      <w:r w:rsidR="00502FED" w:rsidRPr="00E87CD9">
        <w:rPr>
          <w:color w:val="auto"/>
          <w:sz w:val="28"/>
          <w:szCs w:val="28"/>
        </w:rPr>
        <w:t>у</w:t>
      </w:r>
      <w:r w:rsidRPr="00E87CD9">
        <w:rPr>
          <w:color w:val="auto"/>
          <w:sz w:val="28"/>
          <w:szCs w:val="28"/>
        </w:rPr>
        <w:t xml:space="preserve"> доклінічних дослідженнях (</w:t>
      </w:r>
      <w:r w:rsidR="008732AB" w:rsidRPr="00E87CD9">
        <w:rPr>
          <w:color w:val="auto"/>
          <w:sz w:val="28"/>
          <w:szCs w:val="28"/>
          <w:lang w:eastAsia="ru-RU"/>
        </w:rPr>
        <w:t xml:space="preserve">А. Н. Миронов, 2012; </w:t>
      </w:r>
      <w:r w:rsidR="008732AB" w:rsidRPr="00E87CD9">
        <w:rPr>
          <w:color w:val="auto"/>
          <w:sz w:val="28"/>
          <w:szCs w:val="28"/>
        </w:rPr>
        <w:t xml:space="preserve">Р. У. Хабриев, 2005; </w:t>
      </w:r>
      <w:r w:rsidRPr="00E87CD9">
        <w:rPr>
          <w:color w:val="auto"/>
          <w:sz w:val="28"/>
          <w:szCs w:val="28"/>
        </w:rPr>
        <w:t>О.В. Стефанов, 2002). Контрольна група тварин одержувала дистильовану воду. Ненаркотичний аналгетик парацетамол (150; 300 мг/кг) (</w:t>
      </w:r>
      <w:r w:rsidR="005048CC" w:rsidRPr="00E87CD9">
        <w:rPr>
          <w:color w:val="auto"/>
          <w:sz w:val="28"/>
          <w:szCs w:val="28"/>
        </w:rPr>
        <w:t xml:space="preserve">О. О. Нефьодов, 2017; О. В. Хомяк, 2012; </w:t>
      </w:r>
      <w:r w:rsidRPr="00E87CD9">
        <w:rPr>
          <w:color w:val="auto"/>
          <w:sz w:val="28"/>
          <w:szCs w:val="28"/>
        </w:rPr>
        <w:t>В.І. Опришко, 2010); НПЗЗ – диклофенак натрію (10; 12 мг/кг)</w:t>
      </w:r>
      <w:r w:rsidR="00627AB5" w:rsidRPr="00E87CD9">
        <w:rPr>
          <w:color w:val="auto"/>
          <w:sz w:val="28"/>
          <w:szCs w:val="28"/>
        </w:rPr>
        <w:t xml:space="preserve"> (</w:t>
      </w:r>
      <w:r w:rsidR="00627AB5" w:rsidRPr="00E87CD9">
        <w:rPr>
          <w:color w:val="auto"/>
          <w:sz w:val="28"/>
          <w:szCs w:val="28"/>
          <w:shd w:val="clear" w:color="auto" w:fill="FFFFFF"/>
        </w:rPr>
        <w:t xml:space="preserve">S. Vitaic </w:t>
      </w:r>
      <w:r w:rsidR="00057C23" w:rsidRPr="00E87CD9">
        <w:rPr>
          <w:rFonts w:eastAsiaTheme="minorHAnsi"/>
          <w:color w:val="auto"/>
          <w:sz w:val="28"/>
          <w:szCs w:val="28"/>
        </w:rPr>
        <w:t>et al.</w:t>
      </w:r>
      <w:r w:rsidR="00627AB5" w:rsidRPr="00E87CD9">
        <w:rPr>
          <w:color w:val="auto"/>
          <w:sz w:val="28"/>
          <w:szCs w:val="28"/>
          <w:shd w:val="clear" w:color="auto" w:fill="FFFFFF"/>
        </w:rPr>
        <w:t xml:space="preserve">, 2017; N. Lojo </w:t>
      </w:r>
      <w:r w:rsidR="00057C23" w:rsidRPr="00E87CD9">
        <w:rPr>
          <w:rFonts w:eastAsiaTheme="minorHAnsi"/>
          <w:color w:val="auto"/>
          <w:sz w:val="28"/>
          <w:szCs w:val="28"/>
        </w:rPr>
        <w:t>et al.</w:t>
      </w:r>
      <w:r w:rsidR="00627AB5" w:rsidRPr="00E87CD9">
        <w:rPr>
          <w:color w:val="auto"/>
          <w:sz w:val="28"/>
          <w:szCs w:val="28"/>
          <w:shd w:val="clear" w:color="auto" w:fill="FFFFFF"/>
        </w:rPr>
        <w:t xml:space="preserve">, 2016; </w:t>
      </w:r>
      <w:r w:rsidR="00627AB5" w:rsidRPr="00E87CD9">
        <w:rPr>
          <w:color w:val="auto"/>
          <w:sz w:val="28"/>
          <w:szCs w:val="28"/>
        </w:rPr>
        <w:t>О. В. Хомяк, 2012; О. В. Макаренко, 2011; В. І. Опришко, 2010)</w:t>
      </w:r>
      <w:r w:rsidRPr="00E87CD9">
        <w:rPr>
          <w:color w:val="auto"/>
          <w:sz w:val="28"/>
          <w:szCs w:val="28"/>
        </w:rPr>
        <w:t>, ібупрофен (5; 7 мг/кг)</w:t>
      </w:r>
      <w:r w:rsidR="00627AB5" w:rsidRPr="00E87CD9">
        <w:rPr>
          <w:color w:val="auto"/>
          <w:sz w:val="28"/>
          <w:szCs w:val="28"/>
        </w:rPr>
        <w:t xml:space="preserve"> (</w:t>
      </w:r>
      <w:r w:rsidR="00627AB5" w:rsidRPr="00E87CD9">
        <w:rPr>
          <w:color w:val="auto"/>
          <w:sz w:val="28"/>
          <w:szCs w:val="28"/>
          <w:shd w:val="clear" w:color="auto" w:fill="FFFFFF"/>
        </w:rPr>
        <w:t xml:space="preserve">M. K. </w:t>
      </w:r>
      <w:r w:rsidR="00627AB5" w:rsidRPr="00E87CD9">
        <w:rPr>
          <w:color w:val="auto"/>
          <w:sz w:val="28"/>
          <w:szCs w:val="28"/>
          <w:shd w:val="clear" w:color="auto" w:fill="FFFFFF"/>
        </w:rPr>
        <w:lastRenderedPageBreak/>
        <w:t xml:space="preserve">Park </w:t>
      </w:r>
      <w:r w:rsidR="00057C23" w:rsidRPr="00E87CD9">
        <w:rPr>
          <w:rFonts w:eastAsiaTheme="minorHAnsi"/>
          <w:color w:val="auto"/>
          <w:sz w:val="28"/>
          <w:szCs w:val="28"/>
        </w:rPr>
        <w:t>et al.</w:t>
      </w:r>
      <w:r w:rsidR="00627AB5" w:rsidRPr="00E87CD9">
        <w:rPr>
          <w:color w:val="auto"/>
          <w:sz w:val="28"/>
          <w:szCs w:val="28"/>
          <w:shd w:val="clear" w:color="auto" w:fill="FFFFFF"/>
        </w:rPr>
        <w:t xml:space="preserve">, 2019; </w:t>
      </w:r>
      <w:r w:rsidR="00627AB5" w:rsidRPr="00E87CD9">
        <w:rPr>
          <w:color w:val="auto"/>
          <w:sz w:val="28"/>
          <w:szCs w:val="28"/>
        </w:rPr>
        <w:t>О. О. Нефьодов, 2017)</w:t>
      </w:r>
      <w:r w:rsidRPr="00E87CD9">
        <w:rPr>
          <w:color w:val="auto"/>
          <w:sz w:val="28"/>
          <w:szCs w:val="28"/>
        </w:rPr>
        <w:t>, німесулід (80; 100 мг/кг) (</w:t>
      </w:r>
      <w:r w:rsidR="00AF23E1" w:rsidRPr="00E87CD9">
        <w:rPr>
          <w:color w:val="auto"/>
          <w:sz w:val="28"/>
          <w:szCs w:val="28"/>
          <w:shd w:val="clear" w:color="auto" w:fill="FFFFFF"/>
        </w:rPr>
        <w:t xml:space="preserve">M. ShamsiMeymandi </w:t>
      </w:r>
      <w:r w:rsidR="00057C23" w:rsidRPr="00E87CD9">
        <w:rPr>
          <w:rFonts w:eastAsiaTheme="minorHAnsi"/>
          <w:color w:val="auto"/>
          <w:sz w:val="28"/>
          <w:szCs w:val="28"/>
        </w:rPr>
        <w:t>et al.</w:t>
      </w:r>
      <w:r w:rsidR="00AF23E1" w:rsidRPr="00E87CD9">
        <w:rPr>
          <w:color w:val="auto"/>
          <w:sz w:val="28"/>
          <w:szCs w:val="28"/>
          <w:shd w:val="clear" w:color="auto" w:fill="FFFFFF"/>
        </w:rPr>
        <w:t xml:space="preserve">, 2019; R. Mittal </w:t>
      </w:r>
      <w:r w:rsidR="00057C23" w:rsidRPr="00E87CD9">
        <w:rPr>
          <w:rFonts w:eastAsiaTheme="minorHAnsi"/>
          <w:color w:val="auto"/>
          <w:sz w:val="28"/>
          <w:szCs w:val="28"/>
        </w:rPr>
        <w:t>et al.</w:t>
      </w:r>
      <w:r w:rsidR="00AF23E1" w:rsidRPr="00E87CD9">
        <w:rPr>
          <w:color w:val="auto"/>
          <w:sz w:val="28"/>
          <w:szCs w:val="28"/>
          <w:shd w:val="clear" w:color="auto" w:fill="FFFFFF"/>
        </w:rPr>
        <w:t xml:space="preserve">, 2018; </w:t>
      </w:r>
      <w:r w:rsidRPr="00E87CD9">
        <w:rPr>
          <w:color w:val="auto"/>
          <w:sz w:val="28"/>
          <w:szCs w:val="28"/>
          <w:shd w:val="clear" w:color="auto" w:fill="FFFFFF"/>
        </w:rPr>
        <w:t xml:space="preserve">A.Arslan </w:t>
      </w:r>
      <w:r w:rsidR="00057C23" w:rsidRPr="00E87CD9">
        <w:rPr>
          <w:rFonts w:eastAsiaTheme="minorHAnsi"/>
          <w:color w:val="auto"/>
          <w:sz w:val="28"/>
          <w:szCs w:val="28"/>
        </w:rPr>
        <w:t>et al.</w:t>
      </w:r>
      <w:r w:rsidRPr="00E87CD9">
        <w:rPr>
          <w:color w:val="auto"/>
          <w:sz w:val="28"/>
          <w:szCs w:val="28"/>
          <w:shd w:val="clear" w:color="auto" w:fill="FFFFFF"/>
        </w:rPr>
        <w:t xml:space="preserve">, 2016; </w:t>
      </w:r>
      <w:r w:rsidR="00AF23E1" w:rsidRPr="00E87CD9">
        <w:rPr>
          <w:color w:val="auto"/>
          <w:sz w:val="28"/>
          <w:szCs w:val="28"/>
        </w:rPr>
        <w:t>Е. А. Подплетняя, 2008</w:t>
      </w:r>
      <w:r w:rsidRPr="00E87CD9">
        <w:rPr>
          <w:color w:val="auto"/>
          <w:sz w:val="28"/>
          <w:szCs w:val="28"/>
          <w:shd w:val="clear" w:color="auto" w:fill="FFFFFF"/>
        </w:rPr>
        <w:t>)</w:t>
      </w:r>
      <w:r w:rsidRPr="00E87CD9">
        <w:rPr>
          <w:color w:val="auto"/>
          <w:sz w:val="28"/>
          <w:szCs w:val="28"/>
        </w:rPr>
        <w:t>, мелоксикам (10; 12 мг/кг)</w:t>
      </w:r>
      <w:r w:rsidR="00AF23E1" w:rsidRPr="00E87CD9">
        <w:rPr>
          <w:color w:val="auto"/>
          <w:sz w:val="28"/>
          <w:szCs w:val="28"/>
        </w:rPr>
        <w:t xml:space="preserve"> (</w:t>
      </w:r>
      <w:r w:rsidR="00BE16F0" w:rsidRPr="00E87CD9">
        <w:rPr>
          <w:color w:val="auto"/>
          <w:sz w:val="28"/>
          <w:szCs w:val="28"/>
          <w:shd w:val="clear" w:color="auto" w:fill="FFFFFF"/>
        </w:rPr>
        <w:t xml:space="preserve">A. Kuo </w:t>
      </w:r>
      <w:r w:rsidR="00057C23" w:rsidRPr="00E87CD9">
        <w:rPr>
          <w:rFonts w:eastAsiaTheme="minorHAnsi"/>
          <w:color w:val="auto"/>
          <w:sz w:val="28"/>
          <w:szCs w:val="28"/>
        </w:rPr>
        <w:t>et al.</w:t>
      </w:r>
      <w:r w:rsidR="00BE16F0" w:rsidRPr="00E87CD9">
        <w:rPr>
          <w:color w:val="auto"/>
          <w:sz w:val="28"/>
          <w:szCs w:val="28"/>
          <w:shd w:val="clear" w:color="auto" w:fill="FFFFFF"/>
        </w:rPr>
        <w:t xml:space="preserve">, 2020; </w:t>
      </w:r>
      <w:r w:rsidR="00382B23" w:rsidRPr="00E87CD9">
        <w:rPr>
          <w:color w:val="auto"/>
          <w:sz w:val="28"/>
          <w:szCs w:val="28"/>
          <w:shd w:val="clear" w:color="auto" w:fill="FFFFFF"/>
        </w:rPr>
        <w:t xml:space="preserve">O. M. Laudanno </w:t>
      </w:r>
      <w:r w:rsidR="00057C23" w:rsidRPr="00E87CD9">
        <w:rPr>
          <w:rFonts w:eastAsiaTheme="minorHAnsi"/>
          <w:color w:val="auto"/>
          <w:sz w:val="28"/>
          <w:szCs w:val="28"/>
        </w:rPr>
        <w:t>et al.</w:t>
      </w:r>
      <w:r w:rsidR="00382B23" w:rsidRPr="00E87CD9">
        <w:rPr>
          <w:color w:val="auto"/>
          <w:sz w:val="28"/>
          <w:szCs w:val="28"/>
          <w:shd w:val="clear" w:color="auto" w:fill="FFFFFF"/>
        </w:rPr>
        <w:t xml:space="preserve">, 1998; </w:t>
      </w:r>
      <w:r w:rsidR="00AF23E1" w:rsidRPr="00E87CD9">
        <w:rPr>
          <w:color w:val="auto"/>
          <w:sz w:val="28"/>
          <w:szCs w:val="28"/>
        </w:rPr>
        <w:t>О. О. Нефьодов, 2017; О. В. Макаренко, 2011)</w:t>
      </w:r>
      <w:r w:rsidRPr="00E87CD9">
        <w:rPr>
          <w:color w:val="auto"/>
          <w:sz w:val="28"/>
          <w:szCs w:val="28"/>
        </w:rPr>
        <w:t xml:space="preserve">, целекоксиб (50; 60 мг/кг) </w:t>
      </w:r>
      <w:r w:rsidR="00382B23" w:rsidRPr="00E87CD9">
        <w:rPr>
          <w:color w:val="auto"/>
          <w:sz w:val="28"/>
          <w:szCs w:val="28"/>
        </w:rPr>
        <w:t>(</w:t>
      </w:r>
      <w:r w:rsidR="00382B23" w:rsidRPr="00E87CD9">
        <w:rPr>
          <w:color w:val="auto"/>
          <w:sz w:val="28"/>
          <w:szCs w:val="28"/>
          <w:shd w:val="clear" w:color="auto" w:fill="FFFFFF"/>
        </w:rPr>
        <w:t xml:space="preserve">M. ShamsiMeymandi </w:t>
      </w:r>
      <w:r w:rsidR="00057C23" w:rsidRPr="00E87CD9">
        <w:rPr>
          <w:rFonts w:eastAsiaTheme="minorHAnsi"/>
          <w:color w:val="auto"/>
          <w:sz w:val="28"/>
          <w:szCs w:val="28"/>
        </w:rPr>
        <w:t>et al.</w:t>
      </w:r>
      <w:r w:rsidR="00382B23" w:rsidRPr="00E87CD9">
        <w:rPr>
          <w:color w:val="auto"/>
          <w:sz w:val="28"/>
          <w:szCs w:val="28"/>
          <w:shd w:val="clear" w:color="auto" w:fill="FFFFFF"/>
        </w:rPr>
        <w:t xml:space="preserve">, 2019; S. Ahmad </w:t>
      </w:r>
      <w:r w:rsidR="00057C23" w:rsidRPr="00E87CD9">
        <w:rPr>
          <w:rFonts w:eastAsiaTheme="minorHAnsi"/>
          <w:color w:val="auto"/>
          <w:sz w:val="28"/>
          <w:szCs w:val="28"/>
        </w:rPr>
        <w:t>et al.</w:t>
      </w:r>
      <w:r w:rsidR="00382B23" w:rsidRPr="00E87CD9">
        <w:rPr>
          <w:color w:val="auto"/>
          <w:sz w:val="28"/>
          <w:szCs w:val="28"/>
          <w:shd w:val="clear" w:color="auto" w:fill="FFFFFF"/>
        </w:rPr>
        <w:t xml:space="preserve">, 2018; </w:t>
      </w:r>
      <w:r w:rsidR="00382B23" w:rsidRPr="00E87CD9">
        <w:rPr>
          <w:color w:val="auto"/>
          <w:sz w:val="28"/>
          <w:szCs w:val="28"/>
        </w:rPr>
        <w:t>О. О. Нефьодов, 2017; О. В. Хомяк, 2012; В. І. Опришко, 2010; Е. А. Подплетняя, 2008)</w:t>
      </w:r>
      <w:r w:rsidRPr="00E87CD9">
        <w:rPr>
          <w:color w:val="auto"/>
          <w:sz w:val="28"/>
          <w:szCs w:val="28"/>
        </w:rPr>
        <w:t>; гормональний препарат – L-тироксин (1,5 мкг/кг)</w:t>
      </w:r>
      <w:r w:rsidR="00382B23" w:rsidRPr="00E87CD9">
        <w:rPr>
          <w:color w:val="auto"/>
          <w:sz w:val="28"/>
          <w:szCs w:val="28"/>
        </w:rPr>
        <w:t xml:space="preserve"> (</w:t>
      </w:r>
      <w:r w:rsidR="00382B23" w:rsidRPr="00E87CD9">
        <w:rPr>
          <w:iCs/>
          <w:color w:val="auto"/>
          <w:sz w:val="28"/>
          <w:szCs w:val="28"/>
          <w:lang w:eastAsia="ru-RU"/>
        </w:rPr>
        <w:t xml:space="preserve">Е. А. Гусакова, И. В. Городецкая, 2019; </w:t>
      </w:r>
      <w:r w:rsidR="00382B23" w:rsidRPr="00E87CD9">
        <w:rPr>
          <w:color w:val="auto"/>
          <w:sz w:val="28"/>
          <w:szCs w:val="28"/>
        </w:rPr>
        <w:t>Н. Ю. Масюк, И. В. Городецкая, 2018; В. О. Орлова, 2018</w:t>
      </w:r>
      <w:r w:rsidR="00382B23" w:rsidRPr="00E87CD9">
        <w:rPr>
          <w:iCs/>
          <w:color w:val="auto"/>
          <w:sz w:val="28"/>
          <w:szCs w:val="28"/>
          <w:lang w:eastAsia="ru-RU"/>
        </w:rPr>
        <w:t>)</w:t>
      </w:r>
      <w:r w:rsidRPr="00E87CD9">
        <w:rPr>
          <w:color w:val="auto"/>
          <w:sz w:val="28"/>
          <w:szCs w:val="28"/>
        </w:rPr>
        <w:t>; протиревматичний препарат хондропротекторної дії – хондроїтину сульфат (0,24; 5 мл) (</w:t>
      </w:r>
      <w:r w:rsidR="00356411" w:rsidRPr="00E87CD9">
        <w:rPr>
          <w:color w:val="auto"/>
          <w:sz w:val="28"/>
          <w:szCs w:val="28"/>
          <w:lang w:eastAsia="ru-RU"/>
        </w:rPr>
        <w:t xml:space="preserve">А. Н. Миронов, 2012; </w:t>
      </w:r>
      <w:r w:rsidR="00356411" w:rsidRPr="00E87CD9">
        <w:rPr>
          <w:color w:val="auto"/>
          <w:sz w:val="28"/>
          <w:szCs w:val="28"/>
        </w:rPr>
        <w:t xml:space="preserve">Р. У. Хабриев, 2005; </w:t>
      </w:r>
      <w:r w:rsidR="00BD0BF4" w:rsidRPr="00E87CD9">
        <w:rPr>
          <w:color w:val="auto"/>
          <w:sz w:val="28"/>
          <w:szCs w:val="28"/>
        </w:rPr>
        <w:t xml:space="preserve">Ю. Р. </w:t>
      </w:r>
      <w:r w:rsidR="00356411" w:rsidRPr="00E87CD9">
        <w:rPr>
          <w:color w:val="auto"/>
          <w:sz w:val="28"/>
          <w:szCs w:val="28"/>
        </w:rPr>
        <w:t xml:space="preserve">Рыболовлев, </w:t>
      </w:r>
      <w:r w:rsidR="00BD0BF4" w:rsidRPr="00E87CD9">
        <w:rPr>
          <w:color w:val="auto"/>
          <w:sz w:val="28"/>
          <w:szCs w:val="28"/>
        </w:rPr>
        <w:t xml:space="preserve">Р. С. </w:t>
      </w:r>
      <w:r w:rsidR="00356411" w:rsidRPr="00E87CD9">
        <w:rPr>
          <w:color w:val="auto"/>
          <w:sz w:val="28"/>
          <w:szCs w:val="28"/>
        </w:rPr>
        <w:t>Рыболовлев, 1979</w:t>
      </w:r>
      <w:r w:rsidRPr="00E87CD9">
        <w:rPr>
          <w:color w:val="auto"/>
          <w:sz w:val="28"/>
          <w:szCs w:val="28"/>
        </w:rPr>
        <w:t>).</w:t>
      </w:r>
    </w:p>
    <w:p w:rsidR="00417DC7" w:rsidRPr="00E87CD9" w:rsidRDefault="00417DC7" w:rsidP="00502FED">
      <w:pPr>
        <w:tabs>
          <w:tab w:val="left" w:pos="4088"/>
        </w:tabs>
        <w:ind w:firstLine="567"/>
        <w:jc w:val="both"/>
        <w:rPr>
          <w:color w:val="auto"/>
          <w:sz w:val="28"/>
          <w:szCs w:val="28"/>
        </w:rPr>
      </w:pPr>
      <w:r w:rsidRPr="003E2AD3">
        <w:rPr>
          <w:color w:val="auto"/>
          <w:sz w:val="28"/>
          <w:szCs w:val="28"/>
        </w:rPr>
        <w:t xml:space="preserve">Наведені вище дози </w:t>
      </w:r>
      <w:r w:rsidR="00A01C0C" w:rsidRPr="003E2AD3">
        <w:rPr>
          <w:color w:val="auto"/>
          <w:sz w:val="28"/>
          <w:szCs w:val="28"/>
        </w:rPr>
        <w:t xml:space="preserve">для тварин </w:t>
      </w:r>
      <w:r w:rsidRPr="003E2AD3">
        <w:rPr>
          <w:color w:val="auto"/>
          <w:sz w:val="28"/>
          <w:szCs w:val="28"/>
        </w:rPr>
        <w:t xml:space="preserve">були вибрані на основі </w:t>
      </w:r>
      <w:r w:rsidR="007F5B64" w:rsidRPr="003E2AD3">
        <w:rPr>
          <w:color w:val="auto"/>
          <w:sz w:val="28"/>
          <w:szCs w:val="28"/>
        </w:rPr>
        <w:t>екстраполяції</w:t>
      </w:r>
      <w:r w:rsidRPr="003E2AD3">
        <w:rPr>
          <w:color w:val="auto"/>
          <w:sz w:val="28"/>
          <w:szCs w:val="28"/>
        </w:rPr>
        <w:t xml:space="preserve"> (</w:t>
      </w:r>
      <w:r w:rsidR="00BD0BF4" w:rsidRPr="003E2AD3">
        <w:rPr>
          <w:color w:val="auto"/>
          <w:sz w:val="28"/>
          <w:szCs w:val="28"/>
        </w:rPr>
        <w:t>О. В. Стефанов, 2002; Ю. Р. Рыболовлев, Р. С. Рыболовлев, 1979</w:t>
      </w:r>
      <w:r w:rsidRPr="003E2AD3">
        <w:rPr>
          <w:color w:val="auto"/>
          <w:sz w:val="28"/>
          <w:szCs w:val="28"/>
        </w:rPr>
        <w:t xml:space="preserve">), виходячи з середніх та максимальних </w:t>
      </w:r>
      <w:r w:rsidR="00A01C0C" w:rsidRPr="003E2AD3">
        <w:rPr>
          <w:color w:val="auto"/>
          <w:sz w:val="28"/>
          <w:szCs w:val="28"/>
        </w:rPr>
        <w:t xml:space="preserve">терапевтичних </w:t>
      </w:r>
      <w:r w:rsidRPr="003E2AD3">
        <w:rPr>
          <w:color w:val="auto"/>
          <w:sz w:val="28"/>
          <w:szCs w:val="28"/>
        </w:rPr>
        <w:t>доз людини, та з урахуванням даних літератури (</w:t>
      </w:r>
      <w:r w:rsidR="00792AAF" w:rsidRPr="003E2AD3">
        <w:rPr>
          <w:color w:val="auto"/>
          <w:sz w:val="28"/>
          <w:szCs w:val="28"/>
        </w:rPr>
        <w:t>О. О. Нефьодов, 2017; О. В. Хомяк, 2012; О. В. Макаренко, 2011; В. І. Опришко, 2010; Е. А. Подплетняя, 2008</w:t>
      </w:r>
      <w:r w:rsidRPr="003E2AD3">
        <w:rPr>
          <w:color w:val="auto"/>
          <w:sz w:val="28"/>
          <w:szCs w:val="28"/>
        </w:rPr>
        <w:t>).</w:t>
      </w:r>
    </w:p>
    <w:p w:rsidR="00417DC7" w:rsidRPr="00E87CD9" w:rsidRDefault="00417DC7" w:rsidP="00502FED">
      <w:pPr>
        <w:ind w:firstLine="567"/>
        <w:jc w:val="both"/>
        <w:rPr>
          <w:color w:val="auto"/>
          <w:sz w:val="28"/>
          <w:szCs w:val="28"/>
        </w:rPr>
      </w:pPr>
      <w:r w:rsidRPr="00E87CD9">
        <w:rPr>
          <w:color w:val="auto"/>
          <w:sz w:val="28"/>
          <w:szCs w:val="28"/>
        </w:rPr>
        <w:t xml:space="preserve">В процесі проведення експериментальних досліджень лікарські засоби </w:t>
      </w:r>
      <w:r w:rsidR="00652AC2" w:rsidRPr="00E87CD9">
        <w:rPr>
          <w:color w:val="auto"/>
          <w:sz w:val="28"/>
          <w:szCs w:val="28"/>
        </w:rPr>
        <w:t>–</w:t>
      </w:r>
      <w:r w:rsidRPr="00E87CD9">
        <w:rPr>
          <w:color w:val="auto"/>
          <w:sz w:val="28"/>
          <w:szCs w:val="28"/>
        </w:rPr>
        <w:t xml:space="preserve">НПЗЗ, парацетамол та L-тироксин </w:t>
      </w:r>
      <w:r w:rsidR="00652AC2" w:rsidRPr="00E87CD9">
        <w:rPr>
          <w:color w:val="auto"/>
          <w:sz w:val="28"/>
          <w:szCs w:val="28"/>
        </w:rPr>
        <w:t>–</w:t>
      </w:r>
      <w:r w:rsidRPr="00E87CD9">
        <w:rPr>
          <w:color w:val="auto"/>
          <w:sz w:val="28"/>
          <w:szCs w:val="28"/>
        </w:rPr>
        <w:t xml:space="preserve"> вводили внутрішньошлунково один раз на добу, а хондроїтину сульфат </w:t>
      </w:r>
      <w:r w:rsidR="00652AC2" w:rsidRPr="00E87CD9">
        <w:rPr>
          <w:color w:val="auto"/>
          <w:sz w:val="28"/>
          <w:szCs w:val="28"/>
        </w:rPr>
        <w:t>–</w:t>
      </w:r>
      <w:r w:rsidRPr="00E87CD9">
        <w:rPr>
          <w:color w:val="auto"/>
          <w:sz w:val="28"/>
          <w:szCs w:val="28"/>
        </w:rPr>
        <w:t xml:space="preserve"> внутрішньом'язово один раз на добу. Для отримання однорідної суспензії при внутрішньошлунковому введенні таблетованих форм використаний розчин Твіну-80 (Полісорбат 80, Україна). В процесі виконання дослідження оцінка дії ЛЗ проводилась після однократного або 5-ти добового введення засобів залежно від умов проведення експерименту.</w:t>
      </w:r>
    </w:p>
    <w:p w:rsidR="00417DC7" w:rsidRPr="00E87CD9" w:rsidRDefault="00417DC7" w:rsidP="00502FED">
      <w:pPr>
        <w:ind w:firstLine="567"/>
        <w:jc w:val="both"/>
        <w:rPr>
          <w:color w:val="auto"/>
          <w:sz w:val="28"/>
          <w:szCs w:val="28"/>
        </w:rPr>
      </w:pPr>
      <w:r w:rsidRPr="00E87CD9">
        <w:rPr>
          <w:color w:val="auto"/>
          <w:sz w:val="28"/>
          <w:szCs w:val="28"/>
        </w:rPr>
        <w:t xml:space="preserve">Експериментальні дослідження проведені на 720 білих статевозрілих нелінійних щурах обох статей вагою 230-250 г. Тварини обох статей знаходилися на стандартному раціоні та в стандартних умовах утримання у віварії ДЗ «ДМА МОЗ України» (температура повітря: 22 ± 2°C, світлий/темний цикл: 12/12 годин) відповідно до санітарно-гігієнічних норм та отримували їжу та воду </w:t>
      </w:r>
      <w:r w:rsidRPr="00E87CD9">
        <w:rPr>
          <w:i/>
          <w:iCs/>
          <w:color w:val="auto"/>
          <w:sz w:val="28"/>
          <w:szCs w:val="28"/>
        </w:rPr>
        <w:t>adlibitum</w:t>
      </w:r>
      <w:r w:rsidR="00CD5B6D" w:rsidRPr="00E87CD9">
        <w:rPr>
          <w:color w:val="auto"/>
          <w:sz w:val="28"/>
          <w:szCs w:val="28"/>
        </w:rPr>
        <w:t>(О. В. Стефанов, 2002)</w:t>
      </w:r>
      <w:r w:rsidRPr="00E87CD9">
        <w:rPr>
          <w:color w:val="auto"/>
          <w:sz w:val="28"/>
          <w:szCs w:val="28"/>
        </w:rPr>
        <w:t>.</w:t>
      </w:r>
    </w:p>
    <w:p w:rsidR="00417DC7" w:rsidRPr="00E87CD9" w:rsidRDefault="00417DC7" w:rsidP="00CD5B6D">
      <w:pPr>
        <w:ind w:firstLine="567"/>
        <w:jc w:val="both"/>
        <w:rPr>
          <w:color w:val="auto"/>
          <w:sz w:val="28"/>
          <w:szCs w:val="28"/>
        </w:rPr>
      </w:pPr>
      <w:r w:rsidRPr="00E87CD9">
        <w:rPr>
          <w:color w:val="auto"/>
          <w:sz w:val="28"/>
          <w:szCs w:val="28"/>
          <w:lang w:eastAsia="ar-SA"/>
        </w:rPr>
        <w:t xml:space="preserve">Усі маніпуляції проводились при дотриманні принципів біоетики відповідно </w:t>
      </w:r>
      <w:r w:rsidR="00652AC2" w:rsidRPr="00E87CD9">
        <w:rPr>
          <w:color w:val="auto"/>
          <w:sz w:val="28"/>
          <w:szCs w:val="28"/>
          <w:lang w:eastAsia="ar-SA"/>
        </w:rPr>
        <w:t>до</w:t>
      </w:r>
      <w:r w:rsidRPr="00E87CD9">
        <w:rPr>
          <w:color w:val="auto"/>
          <w:sz w:val="28"/>
          <w:szCs w:val="28"/>
          <w:lang w:eastAsia="ar-SA"/>
        </w:rPr>
        <w:t xml:space="preserve"> положен</w:t>
      </w:r>
      <w:r w:rsidR="00652AC2" w:rsidRPr="00E87CD9">
        <w:rPr>
          <w:color w:val="auto"/>
          <w:sz w:val="28"/>
          <w:szCs w:val="28"/>
          <w:lang w:eastAsia="ar-SA"/>
        </w:rPr>
        <w:t>ь</w:t>
      </w:r>
      <w:r w:rsidRPr="00E87CD9">
        <w:rPr>
          <w:color w:val="auto"/>
          <w:sz w:val="28"/>
          <w:szCs w:val="28"/>
          <w:lang w:eastAsia="ar-SA"/>
        </w:rPr>
        <w:t xml:space="preserve"> Європейської конвенції щодо захисту хребетних тварин, яких використовують в експериментальних та інших наукових цілях (European convention for the protection of vertebrate animals used for experimental and other scientific purposes, Страсбург, 1986), Закону України «Про захист тварин від жорстокого поводження» (№ 1759-VI від 15.12.2009) та Директиви Європейського Союзу 2010/10/63 EU щодо експериментів на тваринах,що підтверджено комісією з біоетики </w:t>
      </w:r>
      <w:r w:rsidRPr="00E87CD9">
        <w:rPr>
          <w:color w:val="auto"/>
          <w:sz w:val="28"/>
          <w:szCs w:val="28"/>
        </w:rPr>
        <w:t>ДЗ «ДМА МОЗ України» на початку та після проведення досліджень (протокол №1 від 18.01.2015 р. та протокол №5 від 02.09.2020 р.)</w:t>
      </w:r>
      <w:r w:rsidR="00CD5B6D" w:rsidRPr="00E87CD9">
        <w:rPr>
          <w:color w:val="auto"/>
          <w:sz w:val="28"/>
          <w:szCs w:val="28"/>
        </w:rPr>
        <w:t>(Ю.М.Кожем’якін</w:t>
      </w:r>
      <w:r w:rsidR="00CD5B6D" w:rsidRPr="00E87CD9">
        <w:rPr>
          <w:color w:val="auto"/>
          <w:sz w:val="28"/>
          <w:szCs w:val="28"/>
          <w:shd w:val="clear" w:color="auto" w:fill="FFFFFF"/>
        </w:rPr>
        <w:t>з співавт., 2002;</w:t>
      </w:r>
      <w:r w:rsidR="00CD5B6D" w:rsidRPr="00E87CD9">
        <w:rPr>
          <w:color w:val="auto"/>
          <w:sz w:val="28"/>
          <w:szCs w:val="28"/>
        </w:rPr>
        <w:t xml:space="preserve">И.П.Западнюк </w:t>
      </w:r>
      <w:r w:rsidR="00CD5B6D" w:rsidRPr="00E87CD9">
        <w:rPr>
          <w:color w:val="auto"/>
          <w:sz w:val="28"/>
          <w:szCs w:val="28"/>
          <w:shd w:val="clear" w:color="auto" w:fill="FFFFFF"/>
        </w:rPr>
        <w:t>з співавт., 1983).</w:t>
      </w:r>
    </w:p>
    <w:p w:rsidR="00417DC7" w:rsidRPr="00E87CD9" w:rsidRDefault="00502FED" w:rsidP="00502FED">
      <w:pPr>
        <w:pStyle w:val="a8"/>
        <w:tabs>
          <w:tab w:val="left" w:pos="4395"/>
        </w:tabs>
        <w:ind w:left="0" w:firstLine="567"/>
        <w:rPr>
          <w:bCs/>
          <w:color w:val="auto"/>
        </w:rPr>
      </w:pPr>
      <w:r w:rsidRPr="00E87CD9">
        <w:rPr>
          <w:color w:val="auto"/>
        </w:rPr>
        <w:t>Е</w:t>
      </w:r>
      <w:r w:rsidR="00417DC7" w:rsidRPr="00E87CD9">
        <w:rPr>
          <w:color w:val="auto"/>
        </w:rPr>
        <w:t xml:space="preserve">кспериментальний ОА відтворювали шляхом одноразового внутрішньосуглобового введення 0,1 мл розчину монойодоцтової кислоти (МОК) (реактив Iodoacetic acid ≥ 98.0 % T, № I4386, виробник </w:t>
      </w:r>
      <w:r w:rsidR="00417DC7" w:rsidRPr="00E87CD9">
        <w:rPr>
          <w:color w:val="auto"/>
          <w:shd w:val="clear" w:color="auto" w:fill="FFFFFF"/>
        </w:rPr>
        <w:t xml:space="preserve">Sigma-Aldrich Chemie GmbH, </w:t>
      </w:r>
      <w:r w:rsidR="00417DC7" w:rsidRPr="00E87CD9">
        <w:rPr>
          <w:color w:val="auto"/>
          <w:shd w:val="clear" w:color="auto" w:fill="F9F9F9"/>
        </w:rPr>
        <w:t>Німеччина</w:t>
      </w:r>
      <w:r w:rsidR="00417DC7" w:rsidRPr="00E87CD9">
        <w:rPr>
          <w:color w:val="auto"/>
        </w:rPr>
        <w:t>) у колінний суглоб щура, який готували з розрахунку 3 мг реактиву на 50 мкл стерильного фізіологічного розчину (</w:t>
      </w:r>
      <w:r w:rsidR="00417DC7" w:rsidRPr="00E87CD9">
        <w:rPr>
          <w:rFonts w:eastAsiaTheme="minorHAnsi"/>
          <w:color w:val="auto"/>
        </w:rPr>
        <w:t xml:space="preserve">C. Guingamp </w:t>
      </w:r>
      <w:r w:rsidR="00417DC7" w:rsidRPr="00E87CD9">
        <w:rPr>
          <w:rFonts w:eastAsia="Calibri"/>
          <w:iCs/>
          <w:color w:val="auto"/>
        </w:rPr>
        <w:t>et al., 1997;</w:t>
      </w:r>
      <w:r w:rsidR="00481772" w:rsidRPr="00E87CD9">
        <w:rPr>
          <w:color w:val="auto"/>
          <w:shd w:val="clear" w:color="auto" w:fill="FFFFFF"/>
        </w:rPr>
        <w:t>Е</w:t>
      </w:r>
      <w:r w:rsidR="00481772" w:rsidRPr="00E87CD9">
        <w:rPr>
          <w:color w:val="auto"/>
        </w:rPr>
        <w:t xml:space="preserve">. А. Подплетняя, 2008; </w:t>
      </w:r>
      <w:r w:rsidR="00652AC2" w:rsidRPr="00E87CD9">
        <w:rPr>
          <w:color w:val="auto"/>
        </w:rPr>
        <w:t>І</w:t>
      </w:r>
      <w:r w:rsidR="00481772" w:rsidRPr="00E87CD9">
        <w:rPr>
          <w:color w:val="auto"/>
        </w:rPr>
        <w:t xml:space="preserve">.А.Зупанец </w:t>
      </w:r>
      <w:r w:rsidR="00481772" w:rsidRPr="00E87CD9">
        <w:rPr>
          <w:color w:val="auto"/>
          <w:shd w:val="clear" w:color="auto" w:fill="FFFFFF"/>
        </w:rPr>
        <w:t>з співавт., 1999</w:t>
      </w:r>
      <w:r w:rsidR="00417DC7" w:rsidRPr="00E87CD9">
        <w:rPr>
          <w:color w:val="auto"/>
        </w:rPr>
        <w:t xml:space="preserve">). </w:t>
      </w:r>
      <w:r w:rsidR="00417DC7" w:rsidRPr="00E87CD9">
        <w:rPr>
          <w:bCs/>
          <w:color w:val="auto"/>
        </w:rPr>
        <w:t xml:space="preserve">Верифікація </w:t>
      </w:r>
      <w:r w:rsidR="00417DC7" w:rsidRPr="00E87CD9">
        <w:rPr>
          <w:bCs/>
          <w:color w:val="auto"/>
        </w:rPr>
        <w:lastRenderedPageBreak/>
        <w:t>адекватного виконання моделі експериментального ОА у лабораторних щурів проводилась за допомогою змін біохімічних маркерів сироватки крові та мікроскопії гістологічних препаратів колінних суглобів</w:t>
      </w:r>
      <w:r w:rsidR="00481772" w:rsidRPr="00E87CD9">
        <w:rPr>
          <w:bCs/>
          <w:color w:val="auto"/>
        </w:rPr>
        <w:t xml:space="preserve"> (</w:t>
      </w:r>
      <w:r w:rsidR="001F67F2" w:rsidRPr="00E87CD9">
        <w:rPr>
          <w:color w:val="auto"/>
        </w:rPr>
        <w:t xml:space="preserve">Р. К. Данилов, 2010; </w:t>
      </w:r>
      <w:r w:rsidR="00481772" w:rsidRPr="00E87CD9">
        <w:rPr>
          <w:color w:val="auto"/>
        </w:rPr>
        <w:t xml:space="preserve">І. А. Зупанець </w:t>
      </w:r>
      <w:r w:rsidR="00481772" w:rsidRPr="00E87CD9">
        <w:rPr>
          <w:color w:val="auto"/>
          <w:shd w:val="clear" w:color="auto" w:fill="FFFFFF"/>
        </w:rPr>
        <w:t>з співавт., 2001</w:t>
      </w:r>
      <w:r w:rsidR="001F67F2" w:rsidRPr="00E87CD9">
        <w:rPr>
          <w:color w:val="auto"/>
          <w:shd w:val="clear" w:color="auto" w:fill="FFFFFF"/>
        </w:rPr>
        <w:t>)</w:t>
      </w:r>
      <w:r w:rsidR="00417DC7" w:rsidRPr="00E87CD9">
        <w:rPr>
          <w:bCs/>
          <w:color w:val="auto"/>
        </w:rPr>
        <w:t>.</w:t>
      </w:r>
    </w:p>
    <w:p w:rsidR="00417DC7" w:rsidRPr="00E87CD9" w:rsidRDefault="00417DC7" w:rsidP="00502FED">
      <w:pPr>
        <w:pStyle w:val="Default"/>
        <w:ind w:firstLine="567"/>
        <w:jc w:val="both"/>
        <w:rPr>
          <w:rFonts w:cs="Times New Roman"/>
          <w:bCs/>
          <w:color w:val="auto"/>
          <w:sz w:val="28"/>
          <w:szCs w:val="28"/>
          <w:lang w:val="uk-UA"/>
        </w:rPr>
      </w:pPr>
      <w:r w:rsidRPr="00E87CD9">
        <w:rPr>
          <w:rFonts w:cs="Times New Roman"/>
          <w:color w:val="auto"/>
          <w:sz w:val="28"/>
          <w:szCs w:val="28"/>
          <w:lang w:val="uk-UA"/>
        </w:rPr>
        <w:t>Формування моделі ГІТ проводили шляхом ентерального введення 0,02% розчину карбімазолу (препарат «Еспа-карб», виробництва Еспарма ГмбХ, Німеччина; в таблетках по 5 або 10 мг), який готували з розрахунку 5 мг на 250 мл фізіологічного розчину. Свіжовиготовлений розчин вводили у питний раціон експериментальних щурів впродовж 6 тижнів (</w:t>
      </w:r>
      <w:r w:rsidR="005E210C" w:rsidRPr="00E87CD9">
        <w:rPr>
          <w:rFonts w:cs="Times New Roman"/>
          <w:bCs/>
          <w:color w:val="auto"/>
          <w:sz w:val="28"/>
          <w:szCs w:val="28"/>
          <w:lang w:val="uk-UA"/>
        </w:rPr>
        <w:t xml:space="preserve">A. Ilyas </w:t>
      </w:r>
      <w:r w:rsidR="005E210C" w:rsidRPr="00E87CD9">
        <w:rPr>
          <w:rFonts w:eastAsia="Calibri" w:cs="Times New Roman"/>
          <w:iCs/>
          <w:color w:val="auto"/>
          <w:sz w:val="28"/>
          <w:szCs w:val="28"/>
          <w:lang w:val="uk-UA"/>
        </w:rPr>
        <w:t xml:space="preserve">et al., </w:t>
      </w:r>
      <w:r w:rsidR="005E210C" w:rsidRPr="00E87CD9">
        <w:rPr>
          <w:rFonts w:cs="Times New Roman"/>
          <w:bCs/>
          <w:color w:val="auto"/>
          <w:sz w:val="28"/>
          <w:szCs w:val="28"/>
          <w:lang w:val="uk-UA"/>
        </w:rPr>
        <w:t xml:space="preserve">2015; </w:t>
      </w:r>
      <w:r w:rsidRPr="00E87CD9">
        <w:rPr>
          <w:rFonts w:eastAsiaTheme="minorHAnsi" w:cs="Times New Roman"/>
          <w:bCs/>
          <w:color w:val="auto"/>
          <w:sz w:val="28"/>
          <w:szCs w:val="28"/>
          <w:lang w:val="uk-UA"/>
        </w:rPr>
        <w:t>G.S. Argumedo</w:t>
      </w:r>
      <w:r w:rsidRPr="00E87CD9">
        <w:rPr>
          <w:rFonts w:eastAsia="Calibri" w:cs="Times New Roman"/>
          <w:iCs/>
          <w:color w:val="auto"/>
          <w:sz w:val="28"/>
          <w:szCs w:val="28"/>
          <w:lang w:val="uk-UA"/>
        </w:rPr>
        <w:t xml:space="preserve"> et al., </w:t>
      </w:r>
      <w:r w:rsidRPr="00E87CD9">
        <w:rPr>
          <w:rFonts w:eastAsiaTheme="minorHAnsi" w:cs="Times New Roman"/>
          <w:bCs/>
          <w:color w:val="auto"/>
          <w:sz w:val="28"/>
          <w:szCs w:val="28"/>
          <w:lang w:val="uk-UA"/>
        </w:rPr>
        <w:t xml:space="preserve">2012; </w:t>
      </w:r>
      <w:r w:rsidR="005E210C" w:rsidRPr="00E87CD9">
        <w:rPr>
          <w:rFonts w:eastAsia="GulliverRM" w:cs="Times New Roman"/>
          <w:color w:val="auto"/>
          <w:sz w:val="28"/>
          <w:szCs w:val="28"/>
          <w:shd w:val="clear" w:color="auto" w:fill="FFFFFF"/>
          <w:lang w:val="uk-UA"/>
        </w:rPr>
        <w:t>A. M. El-Bakry</w:t>
      </w:r>
      <w:r w:rsidR="005E210C" w:rsidRPr="00E87CD9">
        <w:rPr>
          <w:rFonts w:eastAsia="Calibri" w:cs="Times New Roman"/>
          <w:iCs/>
          <w:color w:val="auto"/>
          <w:sz w:val="28"/>
          <w:szCs w:val="28"/>
          <w:lang w:val="uk-UA"/>
        </w:rPr>
        <w:t xml:space="preserve">et al., </w:t>
      </w:r>
      <w:r w:rsidR="005E210C" w:rsidRPr="00E87CD9">
        <w:rPr>
          <w:rFonts w:cs="Times New Roman"/>
          <w:bCs/>
          <w:color w:val="auto"/>
          <w:sz w:val="28"/>
          <w:szCs w:val="28"/>
          <w:lang w:val="uk-UA"/>
        </w:rPr>
        <w:t>2010</w:t>
      </w:r>
      <w:r w:rsidRPr="00E87CD9">
        <w:rPr>
          <w:rFonts w:cs="Times New Roman"/>
          <w:color w:val="auto"/>
          <w:sz w:val="28"/>
          <w:szCs w:val="28"/>
          <w:lang w:val="uk-UA"/>
        </w:rPr>
        <w:t xml:space="preserve">). </w:t>
      </w:r>
      <w:r w:rsidRPr="00E87CD9">
        <w:rPr>
          <w:rFonts w:cs="Times New Roman"/>
          <w:bCs/>
          <w:color w:val="auto"/>
          <w:sz w:val="28"/>
          <w:szCs w:val="28"/>
          <w:lang w:val="uk-UA"/>
        </w:rPr>
        <w:t xml:space="preserve">Верифікацію адекватного виконання моделі експериментального ГІТ підтверджували рівнем ТТГ, Т3 та Т4 </w:t>
      </w:r>
      <w:r w:rsidR="00502FED" w:rsidRPr="00E87CD9">
        <w:rPr>
          <w:rFonts w:cs="Times New Roman"/>
          <w:bCs/>
          <w:color w:val="auto"/>
          <w:sz w:val="28"/>
          <w:szCs w:val="28"/>
          <w:lang w:val="uk-UA"/>
        </w:rPr>
        <w:t xml:space="preserve">у </w:t>
      </w:r>
      <w:r w:rsidRPr="00E87CD9">
        <w:rPr>
          <w:rFonts w:cs="Times New Roman"/>
          <w:bCs/>
          <w:color w:val="auto"/>
          <w:sz w:val="28"/>
          <w:szCs w:val="28"/>
          <w:lang w:val="uk-UA"/>
        </w:rPr>
        <w:t>сироват</w:t>
      </w:r>
      <w:r w:rsidR="00502FED" w:rsidRPr="00E87CD9">
        <w:rPr>
          <w:rFonts w:cs="Times New Roman"/>
          <w:bCs/>
          <w:color w:val="auto"/>
          <w:sz w:val="28"/>
          <w:szCs w:val="28"/>
          <w:lang w:val="uk-UA"/>
        </w:rPr>
        <w:t>ці</w:t>
      </w:r>
      <w:r w:rsidRPr="00E87CD9">
        <w:rPr>
          <w:rFonts w:cs="Times New Roman"/>
          <w:bCs/>
          <w:color w:val="auto"/>
          <w:sz w:val="28"/>
          <w:szCs w:val="28"/>
          <w:lang w:val="uk-UA"/>
        </w:rPr>
        <w:t xml:space="preserve"> крові щурів</w:t>
      </w:r>
      <w:r w:rsidR="00ED7E42" w:rsidRPr="00E87CD9">
        <w:rPr>
          <w:rFonts w:cs="Times New Roman"/>
          <w:bCs/>
          <w:color w:val="auto"/>
          <w:sz w:val="28"/>
          <w:szCs w:val="28"/>
          <w:lang w:val="uk-UA"/>
        </w:rPr>
        <w:t xml:space="preserve"> (</w:t>
      </w:r>
      <w:r w:rsidR="00ED7E42" w:rsidRPr="00E87CD9">
        <w:rPr>
          <w:rFonts w:cs="Times New Roman"/>
          <w:color w:val="auto"/>
          <w:sz w:val="28"/>
          <w:szCs w:val="28"/>
          <w:lang w:val="uk-UA"/>
        </w:rPr>
        <w:t xml:space="preserve">Р.К. Данилов, 2010; І. А. Зупанець </w:t>
      </w:r>
      <w:r w:rsidR="00ED7E42" w:rsidRPr="00E87CD9">
        <w:rPr>
          <w:rFonts w:cs="Times New Roman"/>
          <w:color w:val="auto"/>
          <w:sz w:val="28"/>
          <w:szCs w:val="28"/>
          <w:shd w:val="clear" w:color="auto" w:fill="FFFFFF"/>
          <w:lang w:val="uk-UA"/>
        </w:rPr>
        <w:t>з співавт., 2001)</w:t>
      </w:r>
      <w:r w:rsidRPr="00E87CD9">
        <w:rPr>
          <w:rFonts w:cs="Times New Roman"/>
          <w:bCs/>
          <w:color w:val="auto"/>
          <w:sz w:val="28"/>
          <w:szCs w:val="28"/>
          <w:lang w:val="uk-UA"/>
        </w:rPr>
        <w:t>.</w:t>
      </w:r>
    </w:p>
    <w:p w:rsidR="00417DC7" w:rsidRPr="00E87CD9" w:rsidRDefault="00417DC7" w:rsidP="00417DC7">
      <w:pPr>
        <w:ind w:firstLine="709"/>
        <w:jc w:val="both"/>
        <w:rPr>
          <w:color w:val="auto"/>
          <w:sz w:val="28"/>
          <w:szCs w:val="28"/>
        </w:rPr>
      </w:pPr>
      <w:r w:rsidRPr="00E87CD9">
        <w:rPr>
          <w:bCs/>
          <w:color w:val="auto"/>
          <w:sz w:val="28"/>
          <w:szCs w:val="28"/>
        </w:rPr>
        <w:t xml:space="preserve">Для оцінки антиноцицептивної активності НПЗЗ, парацетамолу, хондроїтину сульфату та </w:t>
      </w:r>
      <w:r w:rsidRPr="00E87CD9">
        <w:rPr>
          <w:color w:val="auto"/>
          <w:sz w:val="28"/>
          <w:szCs w:val="28"/>
        </w:rPr>
        <w:t xml:space="preserve">L-тироксину </w:t>
      </w:r>
      <w:r w:rsidRPr="00E87CD9">
        <w:rPr>
          <w:bCs/>
          <w:color w:val="auto"/>
          <w:sz w:val="28"/>
          <w:szCs w:val="28"/>
        </w:rPr>
        <w:t>використаний метод електричного подразнення кореня хвоста щура (</w:t>
      </w:r>
      <w:r w:rsidR="00ED7E42" w:rsidRPr="00E87CD9">
        <w:rPr>
          <w:color w:val="auto"/>
          <w:sz w:val="28"/>
          <w:szCs w:val="28"/>
        </w:rPr>
        <w:t xml:space="preserve">О. О. Нефьодов, 2017; О. В. Хомяк, 2012; О. В. Макаренко, 2011; В. І. Опришко, 2010; </w:t>
      </w:r>
      <w:r w:rsidR="00ED7E42" w:rsidRPr="00E87CD9">
        <w:rPr>
          <w:color w:val="auto"/>
          <w:sz w:val="28"/>
          <w:szCs w:val="28"/>
          <w:shd w:val="clear" w:color="auto" w:fill="FFFFFF"/>
        </w:rPr>
        <w:t>Е</w:t>
      </w:r>
      <w:r w:rsidR="00ED7E42" w:rsidRPr="00E87CD9">
        <w:rPr>
          <w:color w:val="auto"/>
          <w:sz w:val="28"/>
          <w:szCs w:val="28"/>
        </w:rPr>
        <w:t>. А. Подплетняя, 2008</w:t>
      </w:r>
      <w:r w:rsidRPr="00E87CD9">
        <w:rPr>
          <w:bCs/>
          <w:color w:val="auto"/>
          <w:sz w:val="28"/>
          <w:szCs w:val="28"/>
        </w:rPr>
        <w:t xml:space="preserve">). Оцінку больової чутливості у відповідь на поступово зростаюче електричне подразнення від електростимулятору ЕСЛ-2 проводили у вихідному стані та через 30, 60, 90, 120 хв після введення препаратів за проявом голосової реакції, що свідчило </w:t>
      </w:r>
      <w:r w:rsidR="00D63103" w:rsidRPr="00E87CD9">
        <w:rPr>
          <w:bCs/>
          <w:color w:val="auto"/>
          <w:sz w:val="28"/>
          <w:szCs w:val="28"/>
        </w:rPr>
        <w:t xml:space="preserve">про </w:t>
      </w:r>
      <w:r w:rsidR="00502FED" w:rsidRPr="00E87CD9">
        <w:rPr>
          <w:bCs/>
          <w:color w:val="auto"/>
          <w:sz w:val="28"/>
          <w:szCs w:val="28"/>
        </w:rPr>
        <w:t xml:space="preserve">активацію </w:t>
      </w:r>
      <w:r w:rsidRPr="00E87CD9">
        <w:rPr>
          <w:bCs/>
          <w:color w:val="auto"/>
          <w:sz w:val="28"/>
          <w:szCs w:val="28"/>
        </w:rPr>
        <w:t xml:space="preserve">надсегментарного рівня перцепції болю. </w:t>
      </w:r>
      <w:r w:rsidRPr="00E87CD9">
        <w:rPr>
          <w:color w:val="auto"/>
          <w:sz w:val="28"/>
          <w:szCs w:val="28"/>
        </w:rPr>
        <w:t>Вплив лікарських засобів на сегментарний компонент ноцицептивної чутливості вивчали на моделі термічного подразнення хвоста щурів із реєстрацією часу його в</w:t>
      </w:r>
      <w:r w:rsidR="00502FED" w:rsidRPr="00E87CD9">
        <w:rPr>
          <w:color w:val="auto"/>
          <w:sz w:val="28"/>
          <w:szCs w:val="28"/>
        </w:rPr>
        <w:t>ід</w:t>
      </w:r>
      <w:r w:rsidR="00047B39" w:rsidRPr="00E87CD9">
        <w:rPr>
          <w:color w:val="auto"/>
          <w:sz w:val="28"/>
          <w:szCs w:val="28"/>
        </w:rPr>
        <w:t xml:space="preserve">смикування </w:t>
      </w:r>
      <w:r w:rsidR="00ED7E42" w:rsidRPr="00E87CD9">
        <w:rPr>
          <w:bCs/>
          <w:color w:val="auto"/>
          <w:sz w:val="28"/>
          <w:szCs w:val="28"/>
        </w:rPr>
        <w:t>(</w:t>
      </w:r>
      <w:r w:rsidR="00047B39" w:rsidRPr="00E87CD9">
        <w:rPr>
          <w:color w:val="auto"/>
          <w:sz w:val="28"/>
          <w:szCs w:val="28"/>
          <w:shd w:val="clear" w:color="auto" w:fill="FFFFFF"/>
        </w:rPr>
        <w:t xml:space="preserve">О. Є. Ядловський з співавт., 2020; </w:t>
      </w:r>
      <w:r w:rsidR="00ED7E42" w:rsidRPr="00E87CD9">
        <w:rPr>
          <w:color w:val="auto"/>
          <w:sz w:val="28"/>
          <w:szCs w:val="28"/>
        </w:rPr>
        <w:t xml:space="preserve">О. О. Нефьодов, 2017; В. І. Опришко, 2010; </w:t>
      </w:r>
      <w:r w:rsidR="00ED7E42" w:rsidRPr="00E87CD9">
        <w:rPr>
          <w:color w:val="auto"/>
          <w:sz w:val="28"/>
          <w:szCs w:val="28"/>
          <w:shd w:val="clear" w:color="auto" w:fill="FFFFFF"/>
        </w:rPr>
        <w:t>Е</w:t>
      </w:r>
      <w:r w:rsidR="00ED7E42" w:rsidRPr="00E87CD9">
        <w:rPr>
          <w:color w:val="auto"/>
          <w:sz w:val="28"/>
          <w:szCs w:val="28"/>
        </w:rPr>
        <w:t>. А. Подплетняя, 2008</w:t>
      </w:r>
      <w:r w:rsidR="00ED7E42" w:rsidRPr="00E87CD9">
        <w:rPr>
          <w:bCs/>
          <w:color w:val="auto"/>
          <w:sz w:val="28"/>
          <w:szCs w:val="28"/>
        </w:rPr>
        <w:t>)</w:t>
      </w:r>
      <w:r w:rsidRPr="00E87CD9">
        <w:rPr>
          <w:color w:val="auto"/>
          <w:sz w:val="28"/>
          <w:szCs w:val="28"/>
        </w:rPr>
        <w:t xml:space="preserve">. Також використовували класичну скринінгову модель вісцерального болю – «оцтово-кислі корчі», в основі яких лежить хімічне больове подразнення 0,6% розчином оцтової кислоти </w:t>
      </w:r>
      <w:r w:rsidR="00047B39" w:rsidRPr="00E87CD9">
        <w:rPr>
          <w:bCs/>
          <w:color w:val="auto"/>
          <w:sz w:val="28"/>
          <w:szCs w:val="28"/>
        </w:rPr>
        <w:t>(</w:t>
      </w:r>
      <w:r w:rsidR="00047B39" w:rsidRPr="00E87CD9">
        <w:rPr>
          <w:color w:val="auto"/>
          <w:sz w:val="28"/>
          <w:szCs w:val="28"/>
        </w:rPr>
        <w:t xml:space="preserve">О. В. Хомяк, 2012; О. В. Макаренко, 2011; В. І. Опришко, 2010; </w:t>
      </w:r>
      <w:r w:rsidR="00047B39" w:rsidRPr="00E87CD9">
        <w:rPr>
          <w:color w:val="auto"/>
          <w:sz w:val="28"/>
          <w:szCs w:val="28"/>
          <w:shd w:val="clear" w:color="auto" w:fill="FFFFFF"/>
        </w:rPr>
        <w:t>Е</w:t>
      </w:r>
      <w:r w:rsidR="00047B39" w:rsidRPr="00E87CD9">
        <w:rPr>
          <w:color w:val="auto"/>
          <w:sz w:val="28"/>
          <w:szCs w:val="28"/>
        </w:rPr>
        <w:t>. А. Подплетняя, 2008</w:t>
      </w:r>
      <w:r w:rsidR="00047B39" w:rsidRPr="00E87CD9">
        <w:rPr>
          <w:bCs/>
          <w:color w:val="auto"/>
          <w:sz w:val="28"/>
          <w:szCs w:val="28"/>
        </w:rPr>
        <w:t>)</w:t>
      </w:r>
      <w:r w:rsidRPr="00E87CD9">
        <w:rPr>
          <w:color w:val="auto"/>
          <w:sz w:val="28"/>
          <w:szCs w:val="28"/>
        </w:rPr>
        <w:t>.</w:t>
      </w:r>
    </w:p>
    <w:p w:rsidR="00417DC7" w:rsidRPr="00E87CD9" w:rsidRDefault="00417DC7" w:rsidP="00502FED">
      <w:pPr>
        <w:tabs>
          <w:tab w:val="left" w:pos="4395"/>
        </w:tabs>
        <w:ind w:firstLine="567"/>
        <w:jc w:val="both"/>
        <w:rPr>
          <w:bCs/>
          <w:color w:val="auto"/>
          <w:sz w:val="28"/>
          <w:szCs w:val="28"/>
        </w:rPr>
      </w:pPr>
      <w:r w:rsidRPr="00E87CD9">
        <w:rPr>
          <w:bCs/>
          <w:color w:val="auto"/>
          <w:sz w:val="28"/>
          <w:szCs w:val="28"/>
        </w:rPr>
        <w:t xml:space="preserve">Для оцінки поведінкових реакцій експериментальних щурів використаний тест «відкрите поле» </w:t>
      </w:r>
      <w:r w:rsidRPr="00E87CD9">
        <w:rPr>
          <w:color w:val="auto"/>
          <w:sz w:val="28"/>
          <w:szCs w:val="28"/>
        </w:rPr>
        <w:t>(open field test)</w:t>
      </w:r>
      <w:r w:rsidRPr="00E87CD9">
        <w:rPr>
          <w:bCs/>
          <w:color w:val="auto"/>
          <w:sz w:val="28"/>
          <w:szCs w:val="28"/>
        </w:rPr>
        <w:t xml:space="preserve">, який визначає фізіологічну реакцію на нове середовище та оцінює рухову, дослідницьку та емоційну активність тварин </w:t>
      </w:r>
      <w:r w:rsidRPr="00E87CD9">
        <w:rPr>
          <w:color w:val="auto"/>
          <w:sz w:val="28"/>
          <w:szCs w:val="28"/>
        </w:rPr>
        <w:t>(</w:t>
      </w:r>
      <w:r w:rsidR="00343035" w:rsidRPr="00E87CD9">
        <w:rPr>
          <w:color w:val="auto"/>
          <w:sz w:val="28"/>
          <w:szCs w:val="28"/>
        </w:rPr>
        <w:t>О. В. Стефанов, 2002</w:t>
      </w:r>
      <w:r w:rsidRPr="00E87CD9">
        <w:rPr>
          <w:color w:val="auto"/>
          <w:sz w:val="28"/>
          <w:szCs w:val="28"/>
        </w:rPr>
        <w:t>)</w:t>
      </w:r>
      <w:r w:rsidRPr="00E87CD9">
        <w:rPr>
          <w:bCs/>
          <w:color w:val="auto"/>
          <w:sz w:val="28"/>
          <w:szCs w:val="28"/>
        </w:rPr>
        <w:t>. Дослідження виконували протягом 5 хв з фіксацією кількості переміщень,</w:t>
      </w:r>
      <w:r w:rsidRPr="00E87CD9">
        <w:rPr>
          <w:color w:val="auto"/>
          <w:sz w:val="28"/>
          <w:szCs w:val="28"/>
        </w:rPr>
        <w:t xml:space="preserve"> підйомів, заглядань у норки, актів грумінгу та болюсів у щурів (</w:t>
      </w:r>
      <w:r w:rsidR="00343035" w:rsidRPr="00E87CD9">
        <w:rPr>
          <w:color w:val="auto"/>
          <w:sz w:val="28"/>
          <w:szCs w:val="28"/>
        </w:rPr>
        <w:t xml:space="preserve">О. О. Нефьодов, 2017; В. І. Опришко, 2010; </w:t>
      </w:r>
      <w:r w:rsidR="00343035" w:rsidRPr="00E87CD9">
        <w:rPr>
          <w:color w:val="auto"/>
          <w:sz w:val="28"/>
          <w:szCs w:val="28"/>
          <w:shd w:val="clear" w:color="auto" w:fill="FFFFFF"/>
        </w:rPr>
        <w:t>Е</w:t>
      </w:r>
      <w:r w:rsidR="00343035" w:rsidRPr="00E87CD9">
        <w:rPr>
          <w:color w:val="auto"/>
          <w:sz w:val="28"/>
          <w:szCs w:val="28"/>
        </w:rPr>
        <w:t>. А. Подплетняя, 2008</w:t>
      </w:r>
      <w:r w:rsidRPr="00E87CD9">
        <w:rPr>
          <w:color w:val="auto"/>
          <w:sz w:val="28"/>
          <w:szCs w:val="28"/>
        </w:rPr>
        <w:t>).</w:t>
      </w:r>
    </w:p>
    <w:p w:rsidR="00417DC7" w:rsidRPr="00E87CD9" w:rsidRDefault="00417DC7" w:rsidP="00502FED">
      <w:pPr>
        <w:tabs>
          <w:tab w:val="left" w:pos="4395"/>
        </w:tabs>
        <w:ind w:firstLine="567"/>
        <w:jc w:val="both"/>
        <w:rPr>
          <w:bCs/>
          <w:color w:val="auto"/>
          <w:sz w:val="28"/>
          <w:szCs w:val="28"/>
        </w:rPr>
      </w:pPr>
      <w:r w:rsidRPr="00E87CD9">
        <w:rPr>
          <w:color w:val="auto"/>
          <w:sz w:val="28"/>
          <w:szCs w:val="28"/>
        </w:rPr>
        <w:t>Для визначення ступеня протизапальної активності хондроїтину сульфату використана морфометрична оцінка сагітальних (передньо-задн</w:t>
      </w:r>
      <w:r w:rsidR="00110490" w:rsidRPr="00E87CD9">
        <w:rPr>
          <w:color w:val="auto"/>
          <w:sz w:val="28"/>
          <w:szCs w:val="28"/>
        </w:rPr>
        <w:t>і</w:t>
      </w:r>
      <w:r w:rsidRPr="00E87CD9">
        <w:rPr>
          <w:color w:val="auto"/>
          <w:sz w:val="28"/>
          <w:szCs w:val="28"/>
        </w:rPr>
        <w:t>х) розмірів колінних суглобів щурів у динамічному спостережен</w:t>
      </w:r>
      <w:r w:rsidR="00D63103" w:rsidRPr="00E87CD9">
        <w:rPr>
          <w:color w:val="auto"/>
          <w:sz w:val="28"/>
          <w:szCs w:val="28"/>
        </w:rPr>
        <w:t>н</w:t>
      </w:r>
      <w:r w:rsidRPr="00E87CD9">
        <w:rPr>
          <w:color w:val="auto"/>
          <w:sz w:val="28"/>
          <w:szCs w:val="28"/>
        </w:rPr>
        <w:t xml:space="preserve">і. Розміри суглобів визначали у вихідному стані, на 42 добу (кінець формування експериментальних патологічних станів) та 70 добу (кінець 28-добового введення </w:t>
      </w:r>
      <w:r w:rsidRPr="00E87CD9">
        <w:rPr>
          <w:bCs/>
          <w:color w:val="auto"/>
          <w:sz w:val="28"/>
          <w:szCs w:val="28"/>
        </w:rPr>
        <w:t>хондроїтину сульфату</w:t>
      </w:r>
      <w:r w:rsidRPr="00E87CD9">
        <w:rPr>
          <w:color w:val="auto"/>
          <w:sz w:val="28"/>
          <w:szCs w:val="28"/>
        </w:rPr>
        <w:t>) експериментальних досліджень за допомогою мікрометру МК25-1 (</w:t>
      </w:r>
      <w:r w:rsidR="00343035" w:rsidRPr="00E87CD9">
        <w:rPr>
          <w:color w:val="auto"/>
          <w:sz w:val="28"/>
          <w:szCs w:val="28"/>
        </w:rPr>
        <w:t>Е</w:t>
      </w:r>
      <w:r w:rsidRPr="00E87CD9">
        <w:rPr>
          <w:color w:val="auto"/>
          <w:sz w:val="28"/>
          <w:szCs w:val="28"/>
        </w:rPr>
        <w:t>.А. Подплетня</w:t>
      </w:r>
      <w:r w:rsidR="00926282" w:rsidRPr="00E87CD9">
        <w:rPr>
          <w:color w:val="auto"/>
          <w:sz w:val="28"/>
          <w:szCs w:val="28"/>
        </w:rPr>
        <w:t>я</w:t>
      </w:r>
      <w:r w:rsidRPr="00E87CD9">
        <w:rPr>
          <w:color w:val="auto"/>
          <w:sz w:val="28"/>
          <w:szCs w:val="28"/>
        </w:rPr>
        <w:t>, 2008).</w:t>
      </w:r>
    </w:p>
    <w:p w:rsidR="00417DC7" w:rsidRPr="00E87CD9" w:rsidRDefault="00417DC7" w:rsidP="00110490">
      <w:pPr>
        <w:pStyle w:val="Default"/>
        <w:ind w:firstLine="567"/>
        <w:jc w:val="both"/>
        <w:rPr>
          <w:rFonts w:cs="Times New Roman"/>
          <w:color w:val="auto"/>
          <w:sz w:val="28"/>
          <w:szCs w:val="28"/>
          <w:lang w:val="uk-UA"/>
        </w:rPr>
      </w:pPr>
      <w:r w:rsidRPr="00E87CD9">
        <w:rPr>
          <w:rFonts w:cs="Times New Roman"/>
          <w:bCs/>
          <w:color w:val="auto"/>
          <w:sz w:val="28"/>
          <w:szCs w:val="28"/>
          <w:lang w:val="uk-UA"/>
        </w:rPr>
        <w:t xml:space="preserve">Для оцінки протизапальної активності НПЗЗ, парацетамолу, хондроїтину сульфату та </w:t>
      </w:r>
      <w:r w:rsidRPr="00E87CD9">
        <w:rPr>
          <w:rFonts w:cs="Times New Roman"/>
          <w:color w:val="auto"/>
          <w:sz w:val="28"/>
          <w:szCs w:val="28"/>
          <w:lang w:val="uk-UA"/>
        </w:rPr>
        <w:t xml:space="preserve">L-тироксину </w:t>
      </w:r>
      <w:r w:rsidR="00110490" w:rsidRPr="00E87CD9">
        <w:rPr>
          <w:rFonts w:cs="Times New Roman"/>
          <w:color w:val="auto"/>
          <w:sz w:val="28"/>
          <w:szCs w:val="28"/>
          <w:lang w:val="uk-UA"/>
        </w:rPr>
        <w:t xml:space="preserve">проведені </w:t>
      </w:r>
      <w:r w:rsidRPr="00E87CD9">
        <w:rPr>
          <w:rFonts w:cs="Times New Roman"/>
          <w:color w:val="auto"/>
          <w:sz w:val="28"/>
          <w:szCs w:val="28"/>
          <w:lang w:val="uk-UA"/>
        </w:rPr>
        <w:t xml:space="preserve">біохімічні дослідження </w:t>
      </w:r>
      <w:r w:rsidR="00110490" w:rsidRPr="00E87CD9">
        <w:rPr>
          <w:rFonts w:cs="Times New Roman"/>
          <w:color w:val="auto"/>
          <w:sz w:val="28"/>
          <w:szCs w:val="28"/>
          <w:lang w:val="uk-UA"/>
        </w:rPr>
        <w:t xml:space="preserve">у сироватці крові та сечі щурів </w:t>
      </w:r>
      <w:r w:rsidRPr="00E87CD9">
        <w:rPr>
          <w:rFonts w:cs="Times New Roman"/>
          <w:color w:val="auto"/>
          <w:sz w:val="28"/>
          <w:szCs w:val="28"/>
          <w:lang w:val="uk-UA"/>
        </w:rPr>
        <w:t xml:space="preserve">рівня маркерів </w:t>
      </w:r>
      <w:r w:rsidR="00110490" w:rsidRPr="00E87CD9">
        <w:rPr>
          <w:rFonts w:cs="Times New Roman"/>
          <w:color w:val="auto"/>
          <w:sz w:val="28"/>
          <w:szCs w:val="28"/>
          <w:lang w:val="uk-UA"/>
        </w:rPr>
        <w:t>чотирьох груп</w:t>
      </w:r>
      <w:r w:rsidRPr="00E87CD9">
        <w:rPr>
          <w:rFonts w:cs="Times New Roman"/>
          <w:color w:val="auto"/>
          <w:sz w:val="28"/>
          <w:szCs w:val="28"/>
          <w:lang w:val="uk-UA"/>
        </w:rPr>
        <w:t xml:space="preserve">: 1. </w:t>
      </w:r>
      <w:r w:rsidRPr="00E87CD9">
        <w:rPr>
          <w:rFonts w:cs="Times New Roman"/>
          <w:color w:val="auto"/>
          <w:sz w:val="28"/>
          <w:szCs w:val="28"/>
          <w:lang w:val="uk-UA" w:eastAsia="ru-RU"/>
        </w:rPr>
        <w:t xml:space="preserve">Маркери деструкції кісткової та </w:t>
      </w:r>
      <w:r w:rsidRPr="00E87CD9">
        <w:rPr>
          <w:rFonts w:cs="Times New Roman"/>
          <w:color w:val="auto"/>
          <w:sz w:val="28"/>
          <w:szCs w:val="28"/>
          <w:lang w:val="uk-UA" w:eastAsia="ru-RU"/>
        </w:rPr>
        <w:lastRenderedPageBreak/>
        <w:t>хрящової тканин: С-телопептид колагену I типу (CTX-I) та С-телопептид колагену II типу (CTX- II) відповідно, оксипролін</w:t>
      </w:r>
      <w:r w:rsidR="009D3729" w:rsidRPr="00E87CD9">
        <w:rPr>
          <w:rFonts w:cs="Times New Roman"/>
          <w:color w:val="auto"/>
          <w:sz w:val="28"/>
          <w:szCs w:val="28"/>
          <w:lang w:val="uk-UA" w:eastAsia="ru-RU"/>
        </w:rPr>
        <w:t xml:space="preserve"> (</w:t>
      </w:r>
      <w:r w:rsidR="009D3729" w:rsidRPr="00E87CD9">
        <w:rPr>
          <w:rFonts w:cs="Times New Roman"/>
          <w:color w:val="auto"/>
          <w:sz w:val="28"/>
          <w:szCs w:val="28"/>
          <w:lang w:val="uk-UA"/>
        </w:rPr>
        <w:t>X. Z. Wang</w:t>
      </w:r>
      <w:r w:rsidR="009D3729" w:rsidRPr="00E87CD9">
        <w:rPr>
          <w:rFonts w:eastAsia="Calibri" w:cs="Times New Roman"/>
          <w:iCs/>
          <w:color w:val="auto"/>
          <w:sz w:val="28"/>
          <w:szCs w:val="28"/>
          <w:lang w:val="uk-UA"/>
        </w:rPr>
        <w:t xml:space="preserve">etal., 2013; </w:t>
      </w:r>
      <w:r w:rsidR="009D3729" w:rsidRPr="00E87CD9">
        <w:rPr>
          <w:rFonts w:cs="Times New Roman"/>
          <w:color w:val="auto"/>
          <w:sz w:val="28"/>
          <w:szCs w:val="28"/>
          <w:lang w:val="uk-UA"/>
        </w:rPr>
        <w:t>S. Oestergaard</w:t>
      </w:r>
      <w:r w:rsidR="009D3729" w:rsidRPr="00E87CD9">
        <w:rPr>
          <w:rFonts w:eastAsia="Calibri" w:cs="Times New Roman"/>
          <w:iCs/>
          <w:color w:val="auto"/>
          <w:sz w:val="28"/>
          <w:szCs w:val="28"/>
          <w:lang w:val="uk-UA"/>
        </w:rPr>
        <w:t xml:space="preserve">etal., </w:t>
      </w:r>
      <w:r w:rsidR="009D3729" w:rsidRPr="00E87CD9">
        <w:rPr>
          <w:rFonts w:cs="Times New Roman"/>
          <w:color w:val="auto"/>
          <w:sz w:val="28"/>
          <w:szCs w:val="28"/>
          <w:lang w:val="uk-UA"/>
        </w:rPr>
        <w:t>2006; H. Lorenz</w:t>
      </w:r>
      <w:r w:rsidR="009D3729" w:rsidRPr="00E87CD9">
        <w:rPr>
          <w:rFonts w:eastAsia="Calibri" w:cs="Times New Roman"/>
          <w:iCs/>
          <w:color w:val="auto"/>
          <w:sz w:val="28"/>
          <w:szCs w:val="28"/>
          <w:lang w:val="uk-UA"/>
        </w:rPr>
        <w:t xml:space="preserve">etal., 2005; </w:t>
      </w:r>
      <w:r w:rsidR="009D3729" w:rsidRPr="00E87CD9">
        <w:rPr>
          <w:rFonts w:cs="Times New Roman"/>
          <w:color w:val="auto"/>
          <w:sz w:val="28"/>
          <w:szCs w:val="28"/>
          <w:lang w:val="uk-UA"/>
        </w:rPr>
        <w:t>Е. А. Подплетняя, 2008)</w:t>
      </w:r>
      <w:r w:rsidRPr="00E87CD9">
        <w:rPr>
          <w:rFonts w:cs="Times New Roman"/>
          <w:color w:val="auto"/>
          <w:sz w:val="28"/>
          <w:szCs w:val="28"/>
          <w:lang w:val="uk-UA" w:eastAsia="ru-RU"/>
        </w:rPr>
        <w:t>. 2. Маркери ферментів, які руйнують хрящовий матрикс: металопроте</w:t>
      </w:r>
      <w:r w:rsidR="009B4E22" w:rsidRPr="00E87CD9">
        <w:rPr>
          <w:rFonts w:cs="Times New Roman"/>
          <w:color w:val="auto"/>
          <w:sz w:val="28"/>
          <w:szCs w:val="28"/>
          <w:lang w:val="uk-UA" w:eastAsia="ru-RU"/>
        </w:rPr>
        <w:t>ї</w:t>
      </w:r>
      <w:r w:rsidRPr="00E87CD9">
        <w:rPr>
          <w:rFonts w:cs="Times New Roman"/>
          <w:color w:val="auto"/>
          <w:sz w:val="28"/>
          <w:szCs w:val="28"/>
          <w:lang w:val="uk-UA" w:eastAsia="ru-RU"/>
        </w:rPr>
        <w:t>нази (MMП) 3, 9 та 13, глікозаміноглікани</w:t>
      </w:r>
      <w:r w:rsidR="009D3729" w:rsidRPr="00E87CD9">
        <w:rPr>
          <w:rFonts w:cs="Times New Roman"/>
          <w:color w:val="auto"/>
          <w:sz w:val="28"/>
          <w:szCs w:val="28"/>
          <w:lang w:val="uk-UA" w:eastAsia="ru-RU"/>
        </w:rPr>
        <w:t xml:space="preserve"> (</w:t>
      </w:r>
      <w:r w:rsidR="00162F86" w:rsidRPr="00E87CD9">
        <w:rPr>
          <w:rFonts w:cs="Times New Roman"/>
          <w:color w:val="auto"/>
          <w:sz w:val="28"/>
          <w:szCs w:val="28"/>
          <w:shd w:val="clear" w:color="auto" w:fill="FFFFFF"/>
          <w:lang w:val="uk-UA"/>
        </w:rPr>
        <w:t>E. E. Mehana</w:t>
      </w:r>
      <w:r w:rsidR="00162F86" w:rsidRPr="00E87CD9">
        <w:rPr>
          <w:rFonts w:eastAsia="Calibri" w:cs="Times New Roman"/>
          <w:iCs/>
          <w:color w:val="auto"/>
          <w:sz w:val="28"/>
          <w:szCs w:val="28"/>
          <w:lang w:val="uk-UA"/>
        </w:rPr>
        <w:t xml:space="preserve">etal., </w:t>
      </w:r>
      <w:r w:rsidR="00162F86" w:rsidRPr="00E87CD9">
        <w:rPr>
          <w:rFonts w:cs="Times New Roman"/>
          <w:color w:val="auto"/>
          <w:sz w:val="28"/>
          <w:szCs w:val="28"/>
          <w:shd w:val="clear" w:color="auto" w:fill="FFFFFF"/>
          <w:lang w:val="uk-UA"/>
        </w:rPr>
        <w:t xml:space="preserve">2019; </w:t>
      </w:r>
      <w:r w:rsidR="009D3729" w:rsidRPr="00E87CD9">
        <w:rPr>
          <w:rFonts w:cs="Times New Roman"/>
          <w:color w:val="auto"/>
          <w:sz w:val="28"/>
          <w:szCs w:val="28"/>
          <w:lang w:val="uk-UA"/>
        </w:rPr>
        <w:t>Y. Li</w:t>
      </w:r>
      <w:r w:rsidR="009D3729" w:rsidRPr="00E87CD9">
        <w:rPr>
          <w:rFonts w:eastAsia="Calibri" w:cs="Times New Roman"/>
          <w:iCs/>
          <w:color w:val="auto"/>
          <w:sz w:val="28"/>
          <w:szCs w:val="28"/>
          <w:lang w:val="uk-UA"/>
        </w:rPr>
        <w:t xml:space="preserve">etal., </w:t>
      </w:r>
      <w:r w:rsidR="009D3729" w:rsidRPr="00E87CD9">
        <w:rPr>
          <w:rFonts w:cs="Times New Roman"/>
          <w:color w:val="auto"/>
          <w:sz w:val="28"/>
          <w:szCs w:val="28"/>
          <w:lang w:val="uk-UA"/>
        </w:rPr>
        <w:t xml:space="preserve">2012; </w:t>
      </w:r>
      <w:r w:rsidR="009D3729" w:rsidRPr="00E87CD9">
        <w:rPr>
          <w:rFonts w:eastAsia="HeliosLight" w:cs="Times New Roman"/>
          <w:color w:val="auto"/>
          <w:sz w:val="28"/>
          <w:szCs w:val="28"/>
          <w:lang w:val="uk-UA"/>
        </w:rPr>
        <w:t>R. K. Davidson</w:t>
      </w:r>
      <w:r w:rsidR="009D3729" w:rsidRPr="00E87CD9">
        <w:rPr>
          <w:rFonts w:eastAsia="Calibri" w:cs="Times New Roman"/>
          <w:iCs/>
          <w:color w:val="auto"/>
          <w:sz w:val="28"/>
          <w:szCs w:val="28"/>
          <w:lang w:val="uk-UA"/>
        </w:rPr>
        <w:t xml:space="preserve">etal., </w:t>
      </w:r>
      <w:r w:rsidR="009D3729" w:rsidRPr="00E87CD9">
        <w:rPr>
          <w:rFonts w:eastAsia="HeliosLight" w:cs="Times New Roman"/>
          <w:color w:val="auto"/>
          <w:sz w:val="28"/>
          <w:szCs w:val="28"/>
          <w:lang w:val="uk-UA"/>
        </w:rPr>
        <w:t xml:space="preserve">2006; </w:t>
      </w:r>
      <w:r w:rsidR="00162F86" w:rsidRPr="00E87CD9">
        <w:rPr>
          <w:rFonts w:eastAsia="Arial-BoldItalicMT" w:cs="Times New Roman"/>
          <w:color w:val="auto"/>
          <w:sz w:val="28"/>
          <w:szCs w:val="28"/>
          <w:lang w:val="uk-UA"/>
        </w:rPr>
        <w:t xml:space="preserve">С. А. Демкин </w:t>
      </w:r>
      <w:r w:rsidR="00162F86" w:rsidRPr="00E87CD9">
        <w:rPr>
          <w:rFonts w:cs="Times New Roman"/>
          <w:color w:val="auto"/>
          <w:sz w:val="28"/>
          <w:szCs w:val="28"/>
          <w:shd w:val="clear" w:color="auto" w:fill="FFFFFF"/>
          <w:lang w:val="uk-UA"/>
        </w:rPr>
        <w:t xml:space="preserve">з співавт., </w:t>
      </w:r>
      <w:r w:rsidR="00162F86" w:rsidRPr="00E87CD9">
        <w:rPr>
          <w:rFonts w:eastAsia="Arial-BoldItalicMT" w:cs="Times New Roman"/>
          <w:color w:val="auto"/>
          <w:sz w:val="28"/>
          <w:szCs w:val="28"/>
          <w:lang w:val="uk-UA"/>
        </w:rPr>
        <w:t xml:space="preserve">2017; </w:t>
      </w:r>
      <w:r w:rsidR="009D3729" w:rsidRPr="00E87CD9">
        <w:rPr>
          <w:rFonts w:eastAsia="FreeSetC-Bold" w:cs="Times New Roman"/>
          <w:color w:val="auto"/>
          <w:sz w:val="28"/>
          <w:szCs w:val="28"/>
          <w:lang w:val="uk-UA"/>
        </w:rPr>
        <w:t xml:space="preserve">М.И.Ярмолинская </w:t>
      </w:r>
      <w:r w:rsidR="009D3729" w:rsidRPr="00E87CD9">
        <w:rPr>
          <w:rFonts w:cs="Times New Roman"/>
          <w:color w:val="auto"/>
          <w:sz w:val="28"/>
          <w:szCs w:val="28"/>
          <w:shd w:val="clear" w:color="auto" w:fill="FFFFFF"/>
          <w:lang w:val="uk-UA"/>
        </w:rPr>
        <w:t xml:space="preserve">з співавт., </w:t>
      </w:r>
      <w:r w:rsidR="009D3729" w:rsidRPr="00E87CD9">
        <w:rPr>
          <w:rFonts w:eastAsia="FreeSetC-Bold" w:cs="Times New Roman"/>
          <w:color w:val="auto"/>
          <w:sz w:val="28"/>
          <w:szCs w:val="28"/>
          <w:lang w:val="uk-UA"/>
        </w:rPr>
        <w:t>2012</w:t>
      </w:r>
      <w:r w:rsidR="00162F86" w:rsidRPr="00E87CD9">
        <w:rPr>
          <w:rFonts w:eastAsia="FreeSetC-Bold" w:cs="Times New Roman"/>
          <w:color w:val="auto"/>
          <w:sz w:val="28"/>
          <w:szCs w:val="28"/>
          <w:lang w:val="uk-UA"/>
        </w:rPr>
        <w:t xml:space="preserve">; </w:t>
      </w:r>
      <w:r w:rsidR="00162F86" w:rsidRPr="00E87CD9">
        <w:rPr>
          <w:rFonts w:cs="Times New Roman"/>
          <w:color w:val="auto"/>
          <w:sz w:val="28"/>
          <w:szCs w:val="28"/>
          <w:lang w:val="uk-UA"/>
        </w:rPr>
        <w:t>Е. А. Подплетняя, 2008</w:t>
      </w:r>
      <w:r w:rsidR="009D3729" w:rsidRPr="00E87CD9">
        <w:rPr>
          <w:rFonts w:cs="Times New Roman"/>
          <w:color w:val="auto"/>
          <w:sz w:val="28"/>
          <w:szCs w:val="28"/>
          <w:lang w:val="uk-UA" w:eastAsia="ru-RU"/>
        </w:rPr>
        <w:t>)</w:t>
      </w:r>
      <w:r w:rsidRPr="00E87CD9">
        <w:rPr>
          <w:rFonts w:cs="Times New Roman"/>
          <w:color w:val="auto"/>
          <w:sz w:val="28"/>
          <w:szCs w:val="28"/>
          <w:lang w:val="uk-UA" w:eastAsia="ru-RU"/>
        </w:rPr>
        <w:t>. 3. Маркери утворення кісткової тканини: кісткова лужна фосфатаза, кальцій</w:t>
      </w:r>
      <w:r w:rsidR="00162F86" w:rsidRPr="00E87CD9">
        <w:rPr>
          <w:rFonts w:cs="Times New Roman"/>
          <w:color w:val="auto"/>
          <w:sz w:val="28"/>
          <w:szCs w:val="28"/>
          <w:lang w:val="uk-UA" w:eastAsia="ru-RU"/>
        </w:rPr>
        <w:t xml:space="preserve"> (S. Vimalraj 2020; </w:t>
      </w:r>
      <w:r w:rsidR="00162F86" w:rsidRPr="00E87CD9">
        <w:rPr>
          <w:rFonts w:cs="Times New Roman"/>
          <w:color w:val="auto"/>
          <w:sz w:val="28"/>
          <w:szCs w:val="28"/>
          <w:shd w:val="clear" w:color="auto" w:fill="FFFFFF"/>
          <w:lang w:val="uk-UA"/>
        </w:rPr>
        <w:t xml:space="preserve">J. L. Millán 2006; </w:t>
      </w:r>
      <w:r w:rsidR="00162F86" w:rsidRPr="00E87CD9">
        <w:rPr>
          <w:rFonts w:cs="Times New Roman"/>
          <w:color w:val="auto"/>
          <w:sz w:val="28"/>
          <w:szCs w:val="28"/>
          <w:lang w:val="uk-UA"/>
        </w:rPr>
        <w:t>Е. А. Подплетняя, 2008</w:t>
      </w:r>
      <w:r w:rsidR="00162F86" w:rsidRPr="00E87CD9">
        <w:rPr>
          <w:rFonts w:cs="Times New Roman"/>
          <w:color w:val="auto"/>
          <w:sz w:val="28"/>
          <w:szCs w:val="28"/>
          <w:lang w:val="uk-UA" w:eastAsia="ru-RU"/>
        </w:rPr>
        <w:t>)</w:t>
      </w:r>
      <w:r w:rsidRPr="00E87CD9">
        <w:rPr>
          <w:rFonts w:cs="Times New Roman"/>
          <w:color w:val="auto"/>
          <w:sz w:val="28"/>
          <w:szCs w:val="28"/>
          <w:lang w:val="uk-UA" w:eastAsia="ru-RU"/>
        </w:rPr>
        <w:t xml:space="preserve">. 4. Неспецифічні маркери запалення (гострофазові білки запалення сироватки крові): С-реактивний протеїн, інтерлейкіни (IL) 1, 6 та 8, фактор некрозу пухлин-альфа (TNF-α), серомукоїди, </w:t>
      </w:r>
      <w:r w:rsidRPr="00E87CD9">
        <w:rPr>
          <w:rFonts w:cs="Times New Roman"/>
          <w:color w:val="auto"/>
          <w:sz w:val="28"/>
          <w:szCs w:val="28"/>
          <w:lang w:val="uk-UA"/>
        </w:rPr>
        <w:t>сіалові кислоти (</w:t>
      </w:r>
      <w:r w:rsidR="00162F86" w:rsidRPr="00E87CD9">
        <w:rPr>
          <w:rFonts w:eastAsiaTheme="minorHAnsi" w:cs="Times New Roman"/>
          <w:bCs/>
          <w:color w:val="auto"/>
          <w:sz w:val="28"/>
          <w:szCs w:val="28"/>
          <w:lang w:val="uk-UA"/>
        </w:rPr>
        <w:t xml:space="preserve">H. Löfvall </w:t>
      </w:r>
      <w:r w:rsidR="00162F86" w:rsidRPr="00E87CD9">
        <w:rPr>
          <w:rFonts w:cs="Times New Roman"/>
          <w:color w:val="auto"/>
          <w:sz w:val="28"/>
          <w:szCs w:val="28"/>
          <w:lang w:val="uk-UA"/>
        </w:rPr>
        <w:t xml:space="preserve">et al., </w:t>
      </w:r>
      <w:r w:rsidR="00162F86" w:rsidRPr="00E87CD9">
        <w:rPr>
          <w:rFonts w:eastAsiaTheme="minorHAnsi" w:cs="Times New Roman"/>
          <w:bCs/>
          <w:color w:val="auto"/>
          <w:sz w:val="28"/>
          <w:szCs w:val="28"/>
          <w:lang w:val="uk-UA"/>
        </w:rPr>
        <w:t xml:space="preserve">2019; </w:t>
      </w:r>
      <w:r w:rsidR="00E55427" w:rsidRPr="00E87CD9">
        <w:rPr>
          <w:rFonts w:cs="Times New Roman"/>
          <w:bCs/>
          <w:color w:val="auto"/>
          <w:sz w:val="28"/>
          <w:szCs w:val="28"/>
          <w:lang w:val="uk-UA"/>
        </w:rPr>
        <w:t xml:space="preserve">K. Louati, F. Berenbaum, 2016; </w:t>
      </w:r>
      <w:r w:rsidRPr="00E87CD9">
        <w:rPr>
          <w:rFonts w:eastAsiaTheme="minorHAnsi" w:cs="Times New Roman"/>
          <w:color w:val="auto"/>
          <w:sz w:val="28"/>
          <w:szCs w:val="28"/>
          <w:lang w:val="uk-UA"/>
        </w:rPr>
        <w:t xml:space="preserve">V.B. Kraus </w:t>
      </w:r>
      <w:r w:rsidRPr="00E87CD9">
        <w:rPr>
          <w:rFonts w:cs="Times New Roman"/>
          <w:color w:val="auto"/>
          <w:sz w:val="28"/>
          <w:szCs w:val="28"/>
          <w:lang w:val="uk-UA"/>
        </w:rPr>
        <w:t xml:space="preserve">et al., 2011; </w:t>
      </w:r>
      <w:r w:rsidR="00162F86" w:rsidRPr="00E87CD9">
        <w:rPr>
          <w:rFonts w:cs="Times New Roman"/>
          <w:color w:val="auto"/>
          <w:sz w:val="28"/>
          <w:szCs w:val="28"/>
          <w:lang w:val="uk-UA"/>
        </w:rPr>
        <w:t>Е. А. Подплетняя, 2008</w:t>
      </w:r>
      <w:r w:rsidRPr="00E87CD9">
        <w:rPr>
          <w:rFonts w:cs="Times New Roman"/>
          <w:color w:val="auto"/>
          <w:sz w:val="28"/>
          <w:szCs w:val="28"/>
          <w:lang w:val="uk-UA"/>
        </w:rPr>
        <w:t>).</w:t>
      </w:r>
    </w:p>
    <w:p w:rsidR="00417DC7" w:rsidRPr="00E87CD9" w:rsidRDefault="00417DC7" w:rsidP="00110490">
      <w:pPr>
        <w:tabs>
          <w:tab w:val="left" w:pos="4395"/>
        </w:tabs>
        <w:ind w:firstLine="567"/>
        <w:jc w:val="both"/>
        <w:rPr>
          <w:bCs/>
          <w:color w:val="auto"/>
          <w:sz w:val="28"/>
          <w:szCs w:val="28"/>
        </w:rPr>
      </w:pPr>
      <w:r w:rsidRPr="00E87CD9">
        <w:rPr>
          <w:color w:val="auto"/>
          <w:sz w:val="28"/>
          <w:szCs w:val="28"/>
        </w:rPr>
        <w:t>Кількісний рівень маркерів сироватки крові щурів та рівень гормонів ТТГ, Т3 а Т4 визначали методом конкурентного іму</w:t>
      </w:r>
      <w:r w:rsidR="00110490" w:rsidRPr="00E87CD9">
        <w:rPr>
          <w:color w:val="auto"/>
          <w:sz w:val="28"/>
          <w:szCs w:val="28"/>
        </w:rPr>
        <w:t>н</w:t>
      </w:r>
      <w:r w:rsidRPr="00E87CD9">
        <w:rPr>
          <w:color w:val="auto"/>
          <w:sz w:val="28"/>
          <w:szCs w:val="28"/>
        </w:rPr>
        <w:t xml:space="preserve">но-ферментного аналізу (ІФА) in vitro (на 42, 47 та 70 добу експерименту) </w:t>
      </w:r>
      <w:r w:rsidRPr="00E87CD9">
        <w:rPr>
          <w:color w:val="auto"/>
          <w:sz w:val="28"/>
          <w:szCs w:val="28"/>
          <w:shd w:val="clear" w:color="auto" w:fill="FFFFFF"/>
        </w:rPr>
        <w:t>з використанням імун</w:t>
      </w:r>
      <w:r w:rsidR="00110490" w:rsidRPr="00E87CD9">
        <w:rPr>
          <w:color w:val="auto"/>
          <w:sz w:val="28"/>
          <w:szCs w:val="28"/>
          <w:shd w:val="clear" w:color="auto" w:fill="FFFFFF"/>
        </w:rPr>
        <w:t>н</w:t>
      </w:r>
      <w:r w:rsidRPr="00E87CD9">
        <w:rPr>
          <w:color w:val="auto"/>
          <w:sz w:val="28"/>
          <w:szCs w:val="28"/>
          <w:shd w:val="clear" w:color="auto" w:fill="FFFFFF"/>
        </w:rPr>
        <w:t>оферментних тест-систем фірм-виробників «</w:t>
      </w:r>
      <w:r w:rsidRPr="00E87CD9">
        <w:rPr>
          <w:color w:val="auto"/>
          <w:sz w:val="28"/>
          <w:szCs w:val="28"/>
        </w:rPr>
        <w:t>Elabscience Biotechnology Co. Ltd» (Китай) та«MyBioSource, San Diego, CA» (США)</w:t>
      </w:r>
      <w:r w:rsidRPr="00E87CD9">
        <w:rPr>
          <w:color w:val="auto"/>
          <w:sz w:val="28"/>
          <w:szCs w:val="28"/>
          <w:shd w:val="clear" w:color="auto" w:fill="FFFFFF"/>
        </w:rPr>
        <w:t>згідно з методикою виробників, яка була описана в технічній документації</w:t>
      </w:r>
      <w:r w:rsidRPr="00E87CD9">
        <w:rPr>
          <w:color w:val="auto"/>
          <w:sz w:val="28"/>
          <w:szCs w:val="28"/>
        </w:rPr>
        <w:t xml:space="preserve">. Чутливість та діапазон визначення дорівнювали показникам, визначеним </w:t>
      </w:r>
      <w:r w:rsidRPr="00E87CD9">
        <w:rPr>
          <w:color w:val="auto"/>
          <w:sz w:val="28"/>
          <w:szCs w:val="28"/>
          <w:shd w:val="clear" w:color="auto" w:fill="FFFFFF"/>
        </w:rPr>
        <w:t>в технічній документації</w:t>
      </w:r>
      <w:r w:rsidRPr="00E87CD9">
        <w:rPr>
          <w:color w:val="auto"/>
          <w:sz w:val="28"/>
          <w:szCs w:val="28"/>
        </w:rPr>
        <w:t xml:space="preserve"> до відповідних тест-систем. </w:t>
      </w:r>
      <w:r w:rsidRPr="00E87CD9">
        <w:rPr>
          <w:bCs/>
          <w:color w:val="auto"/>
          <w:sz w:val="28"/>
          <w:szCs w:val="28"/>
        </w:rPr>
        <w:t>За референ</w:t>
      </w:r>
      <w:r w:rsidR="00110490" w:rsidRPr="00E87CD9">
        <w:rPr>
          <w:bCs/>
          <w:color w:val="auto"/>
          <w:sz w:val="28"/>
          <w:szCs w:val="28"/>
        </w:rPr>
        <w:t>т</w:t>
      </w:r>
      <w:r w:rsidRPr="00E87CD9">
        <w:rPr>
          <w:bCs/>
          <w:color w:val="auto"/>
          <w:sz w:val="28"/>
          <w:szCs w:val="28"/>
        </w:rPr>
        <w:t>ний рівень маркерів прийняті значення, отримані в групі інтактних щурів та з відповідних лабораторних довідників</w:t>
      </w:r>
      <w:r w:rsidR="00E55427" w:rsidRPr="00E87CD9">
        <w:rPr>
          <w:color w:val="auto"/>
          <w:sz w:val="28"/>
          <w:szCs w:val="28"/>
        </w:rPr>
        <w:t>(</w:t>
      </w:r>
      <w:r w:rsidR="00E55427" w:rsidRPr="00E87CD9">
        <w:rPr>
          <w:color w:val="auto"/>
          <w:sz w:val="28"/>
          <w:szCs w:val="28"/>
          <w:lang w:eastAsia="ru-RU"/>
        </w:rPr>
        <w:t xml:space="preserve">В. А. Факш, 2015; </w:t>
      </w:r>
      <w:r w:rsidR="00E55427" w:rsidRPr="00E87CD9">
        <w:rPr>
          <w:color w:val="auto"/>
          <w:sz w:val="28"/>
          <w:szCs w:val="28"/>
        </w:rPr>
        <w:t xml:space="preserve">І. А. Зупанець </w:t>
      </w:r>
      <w:r w:rsidR="00E55427" w:rsidRPr="00E87CD9">
        <w:rPr>
          <w:color w:val="auto"/>
          <w:sz w:val="28"/>
          <w:szCs w:val="28"/>
          <w:shd w:val="clear" w:color="auto" w:fill="FFFFFF"/>
        </w:rPr>
        <w:t>з співавт., 2001)</w:t>
      </w:r>
      <w:r w:rsidRPr="00E87CD9">
        <w:rPr>
          <w:bCs/>
          <w:color w:val="auto"/>
          <w:sz w:val="28"/>
          <w:szCs w:val="28"/>
        </w:rPr>
        <w:t>.</w:t>
      </w:r>
    </w:p>
    <w:p w:rsidR="00417DC7" w:rsidRPr="00E87CD9" w:rsidRDefault="00417DC7" w:rsidP="00110490">
      <w:pPr>
        <w:tabs>
          <w:tab w:val="left" w:pos="4395"/>
        </w:tabs>
        <w:ind w:firstLine="567"/>
        <w:jc w:val="both"/>
        <w:rPr>
          <w:color w:val="auto"/>
          <w:sz w:val="28"/>
          <w:szCs w:val="28"/>
        </w:rPr>
      </w:pPr>
      <w:r w:rsidRPr="00E87CD9">
        <w:rPr>
          <w:color w:val="auto"/>
          <w:sz w:val="28"/>
          <w:szCs w:val="28"/>
          <w:highlight w:val="white"/>
        </w:rPr>
        <w:t>Зразки крові отримували з хвостової вени щурів після їх голодування протягом 12 годин шляхом пункції за допомогою вакуумної системи або скарифікації на 42, 47 та 70 добу експерименту</w:t>
      </w:r>
      <w:r w:rsidRPr="00E87CD9">
        <w:rPr>
          <w:bCs/>
          <w:color w:val="auto"/>
          <w:sz w:val="28"/>
          <w:szCs w:val="28"/>
        </w:rPr>
        <w:t>. Збір сечі проводився в умовах метаболічної камери</w:t>
      </w:r>
      <w:r w:rsidR="00E55427" w:rsidRPr="00E87CD9">
        <w:rPr>
          <w:color w:val="auto"/>
          <w:sz w:val="28"/>
          <w:szCs w:val="28"/>
        </w:rPr>
        <w:t>(</w:t>
      </w:r>
      <w:r w:rsidR="00E55427" w:rsidRPr="00E87CD9">
        <w:rPr>
          <w:color w:val="auto"/>
          <w:sz w:val="28"/>
          <w:szCs w:val="28"/>
          <w:lang w:eastAsia="ru-RU"/>
        </w:rPr>
        <w:t xml:space="preserve">А. Н. Миронов, 2012; </w:t>
      </w:r>
      <w:r w:rsidR="00E55427" w:rsidRPr="00E87CD9">
        <w:rPr>
          <w:color w:val="auto"/>
          <w:sz w:val="28"/>
          <w:szCs w:val="28"/>
        </w:rPr>
        <w:t>Р. У. Хабриев, 2005; О. В. Стефанов, 2002)</w:t>
      </w:r>
      <w:r w:rsidRPr="00E87CD9">
        <w:rPr>
          <w:bCs/>
          <w:color w:val="auto"/>
          <w:sz w:val="28"/>
          <w:szCs w:val="28"/>
        </w:rPr>
        <w:t>.</w:t>
      </w:r>
    </w:p>
    <w:p w:rsidR="00417DC7" w:rsidRPr="00E87CD9" w:rsidRDefault="00417DC7" w:rsidP="00110490">
      <w:pPr>
        <w:pStyle w:val="3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val="0"/>
          <w:bCs w:val="0"/>
          <w:color w:val="auto"/>
          <w:szCs w:val="28"/>
          <w:lang w:eastAsia="ru-RU"/>
        </w:rPr>
      </w:pPr>
      <w:r w:rsidRPr="00E87CD9">
        <w:rPr>
          <w:b w:val="0"/>
          <w:color w:val="auto"/>
          <w:szCs w:val="28"/>
          <w:lang w:eastAsia="ru-RU"/>
        </w:rPr>
        <w:t>Дослідження взаємодії комбінації лікарських засобів (диклофенаку натрі</w:t>
      </w:r>
      <w:r w:rsidR="009B4E22" w:rsidRPr="00E87CD9">
        <w:rPr>
          <w:b w:val="0"/>
          <w:color w:val="auto"/>
          <w:szCs w:val="28"/>
          <w:lang w:eastAsia="ru-RU"/>
        </w:rPr>
        <w:t>ю</w:t>
      </w:r>
      <w:r w:rsidRPr="00E87CD9">
        <w:rPr>
          <w:b w:val="0"/>
          <w:color w:val="auto"/>
          <w:szCs w:val="28"/>
          <w:lang w:eastAsia="ru-RU"/>
        </w:rPr>
        <w:t xml:space="preserve">, хондроїтину-4 сульфату та </w:t>
      </w:r>
      <w:r w:rsidRPr="00E87CD9">
        <w:rPr>
          <w:b w:val="0"/>
          <w:color w:val="auto"/>
          <w:szCs w:val="28"/>
        </w:rPr>
        <w:t xml:space="preserve">L-тироксину) проводили </w:t>
      </w:r>
      <w:r w:rsidRPr="00E87CD9">
        <w:rPr>
          <w:b w:val="0"/>
          <w:bCs w:val="0"/>
          <w:color w:val="auto"/>
          <w:szCs w:val="28"/>
        </w:rPr>
        <w:t>з використанням програми ACD/pKaDB</w:t>
      </w:r>
      <w:r w:rsidR="005F3E6A" w:rsidRPr="00E87CD9">
        <w:rPr>
          <w:b w:val="0"/>
          <w:bCs w:val="0"/>
          <w:color w:val="auto"/>
          <w:szCs w:val="28"/>
        </w:rPr>
        <w:t>,</w:t>
      </w:r>
      <w:r w:rsidRPr="00E87CD9">
        <w:rPr>
          <w:b w:val="0"/>
          <w:bCs w:val="0"/>
          <w:color w:val="auto"/>
          <w:szCs w:val="28"/>
        </w:rPr>
        <w:t xml:space="preserve"> за допомогою якої визначені фі</w:t>
      </w:r>
      <w:r w:rsidRPr="00E87CD9">
        <w:rPr>
          <w:b w:val="0"/>
          <w:bCs w:val="0"/>
          <w:color w:val="auto"/>
          <w:szCs w:val="28"/>
          <w:lang w:eastAsia="ru-RU"/>
        </w:rPr>
        <w:t>зико-хімічні параметри сполук (константа іонізації, pKa ліпофільності, logP, ліпофільність при заданому рН, logD, кількість протон</w:t>
      </w:r>
      <w:r w:rsidR="009B4E22" w:rsidRPr="00E87CD9">
        <w:rPr>
          <w:b w:val="0"/>
          <w:bCs w:val="0"/>
          <w:color w:val="auto"/>
          <w:szCs w:val="28"/>
          <w:lang w:eastAsia="ru-RU"/>
        </w:rPr>
        <w:t>н</w:t>
      </w:r>
      <w:r w:rsidRPr="00E87CD9">
        <w:rPr>
          <w:b w:val="0"/>
          <w:bCs w:val="0"/>
          <w:color w:val="auto"/>
          <w:szCs w:val="28"/>
          <w:lang w:eastAsia="ru-RU"/>
        </w:rPr>
        <w:t xml:space="preserve">их донорів та акцепторів, розчинність) та визначена фармакологічна і фармакокінетична доцільність </w:t>
      </w:r>
      <w:r w:rsidRPr="00E87CD9">
        <w:rPr>
          <w:b w:val="0"/>
          <w:color w:val="auto"/>
          <w:szCs w:val="28"/>
        </w:rPr>
        <w:t>комбінації активних речовин (</w:t>
      </w:r>
      <w:r w:rsidRPr="00E87CD9">
        <w:rPr>
          <w:rFonts w:eastAsiaTheme="minorHAnsi"/>
          <w:b w:val="0"/>
          <w:iCs/>
          <w:color w:val="auto"/>
          <w:szCs w:val="28"/>
        </w:rPr>
        <w:t>N.Ya. Golovenko, V.B. Larionov</w:t>
      </w:r>
      <w:r w:rsidRPr="00E87CD9">
        <w:rPr>
          <w:b w:val="0"/>
          <w:color w:val="auto"/>
          <w:szCs w:val="28"/>
        </w:rPr>
        <w:t>, 2016).</w:t>
      </w:r>
    </w:p>
    <w:p w:rsidR="00417DC7" w:rsidRPr="00E87CD9" w:rsidRDefault="00417DC7" w:rsidP="00110490">
      <w:pPr>
        <w:pStyle w:val="a8"/>
        <w:ind w:left="0" w:firstLine="567"/>
        <w:rPr>
          <w:bCs/>
          <w:color w:val="auto"/>
          <w:lang w:eastAsia="ru-RU"/>
        </w:rPr>
      </w:pPr>
      <w:r w:rsidRPr="00E87CD9">
        <w:rPr>
          <w:color w:val="auto"/>
        </w:rPr>
        <w:t xml:space="preserve">Для вивчення морфофункціонального стану кісткової та хрящової тканин використовували тканинний комплекс колінних суглобів щурів (дистальний відділ стегнової кістки та проксимальний відділ великогомілкової кістки), який обробляли відповідно етапам: фіксація тканин; дегідратація (зневоднення зразків) та заливання у парафін; приготування зрізів; фарбування препаратів (гематоксилін та еозин, </w:t>
      </w:r>
      <w:r w:rsidR="00C9217E" w:rsidRPr="00E87CD9">
        <w:rPr>
          <w:color w:val="auto"/>
        </w:rPr>
        <w:t>ш</w:t>
      </w:r>
      <w:r w:rsidRPr="00E87CD9">
        <w:rPr>
          <w:color w:val="auto"/>
        </w:rPr>
        <w:t xml:space="preserve">ифф-йодною кислотою); мікрофотографування гістологічних препаратів. </w:t>
      </w:r>
      <w:r w:rsidRPr="00E87CD9">
        <w:rPr>
          <w:color w:val="auto"/>
          <w:lang w:eastAsia="ru-RU"/>
        </w:rPr>
        <w:t xml:space="preserve">Гістологічні зрізи робили завтовшки 3-4 мкм за допомогою ротаційного мікротому HM340E (Thermo Scientific, Німеччина). Мікроскопічне вивчення зразків проводили з використанням тринокулярного світлооптичного мікроскопу «Primo Star Carl Zeiss» з фотовихідом та </w:t>
      </w:r>
      <w:r w:rsidRPr="00E87CD9">
        <w:rPr>
          <w:color w:val="auto"/>
          <w:lang w:eastAsia="ru-RU"/>
        </w:rPr>
        <w:lastRenderedPageBreak/>
        <w:t>використанням об’єктивів ×10, ×40, ×100</w:t>
      </w:r>
      <w:r w:rsidR="0054139D" w:rsidRPr="00E87CD9">
        <w:rPr>
          <w:color w:val="auto"/>
          <w:lang w:eastAsia="ru-RU"/>
        </w:rPr>
        <w:t xml:space="preserve"> (Р. К. Данилов, 2010; </w:t>
      </w:r>
      <w:r w:rsidR="0054139D" w:rsidRPr="00E87CD9">
        <w:rPr>
          <w:rFonts w:eastAsia="TimesNewRoman"/>
          <w:color w:val="auto"/>
        </w:rPr>
        <w:t xml:space="preserve">Ю. И. Денисов-Никольский </w:t>
      </w:r>
      <w:r w:rsidR="0054139D" w:rsidRPr="00E87CD9">
        <w:rPr>
          <w:color w:val="auto"/>
          <w:shd w:val="clear" w:color="auto" w:fill="FFFFFF"/>
        </w:rPr>
        <w:t>з співавт., 2005</w:t>
      </w:r>
      <w:r w:rsidR="0054139D" w:rsidRPr="00E87CD9">
        <w:rPr>
          <w:color w:val="auto"/>
          <w:lang w:eastAsia="ru-RU"/>
        </w:rPr>
        <w:t>)</w:t>
      </w:r>
      <w:r w:rsidRPr="00E87CD9">
        <w:rPr>
          <w:color w:val="auto"/>
          <w:lang w:eastAsia="ru-RU"/>
        </w:rPr>
        <w:t>.</w:t>
      </w:r>
    </w:p>
    <w:p w:rsidR="007C5068" w:rsidRPr="00E87CD9" w:rsidRDefault="007C5068" w:rsidP="00110490">
      <w:pPr>
        <w:pStyle w:val="3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val="0"/>
          <w:color w:val="auto"/>
          <w:szCs w:val="28"/>
        </w:rPr>
      </w:pPr>
      <w:r w:rsidRPr="00E87CD9">
        <w:rPr>
          <w:b w:val="0"/>
          <w:color w:val="auto"/>
          <w:szCs w:val="28"/>
        </w:rPr>
        <w:t>Статистична обробка результатів проведених досліджень виконана з використанням пакету програм STATISTICA 6.1 (StatSoftInc., серійний номер AGAR 909E415822FA). Описова статистика для кожного показника включала розрахунки середнього арифметичного значення (М), стандартного відхилення (SD)</w:t>
      </w:r>
      <w:r w:rsidR="00C12448" w:rsidRPr="00E87CD9">
        <w:rPr>
          <w:b w:val="0"/>
          <w:color w:val="auto"/>
          <w:szCs w:val="28"/>
        </w:rPr>
        <w:t xml:space="preserve"> і</w:t>
      </w:r>
      <w:r w:rsidRPr="00E87CD9">
        <w:rPr>
          <w:b w:val="0"/>
          <w:color w:val="auto"/>
          <w:szCs w:val="28"/>
        </w:rPr>
        <w:t xml:space="preserve"> стандартної похибки середнього (m). Перед застосуванням статистичних критеріїв проводилася перевірка гіпотези про нормальний закон розподілу випадкових величин (за критерієм Шапіро-Уілка). За умов нормального розподілу оцінка достовірності міжгрупових та внутрішньогрупових відмінностей показників проводилась за допомогою параметричних критеріїв Стьюдента (t, Т), в інших випадках – за непараметричними критеріями Мана-Уітні (</w:t>
      </w:r>
      <w:r w:rsidRPr="00E87CD9">
        <w:rPr>
          <w:b w:val="0"/>
          <w:iCs/>
          <w:color w:val="auto"/>
          <w:szCs w:val="28"/>
        </w:rPr>
        <w:t>U</w:t>
      </w:r>
      <w:r w:rsidRPr="00E87CD9">
        <w:rPr>
          <w:b w:val="0"/>
          <w:i/>
          <w:iCs/>
          <w:color w:val="auto"/>
          <w:szCs w:val="28"/>
        </w:rPr>
        <w:t xml:space="preserve">) </w:t>
      </w:r>
      <w:r w:rsidRPr="00E87CD9">
        <w:rPr>
          <w:b w:val="0"/>
          <w:iCs/>
          <w:color w:val="auto"/>
          <w:szCs w:val="28"/>
        </w:rPr>
        <w:t>і Вілкоксона (W).</w:t>
      </w:r>
      <w:r w:rsidRPr="00E87CD9">
        <w:rPr>
          <w:b w:val="0"/>
          <w:color w:val="auto"/>
          <w:szCs w:val="28"/>
        </w:rPr>
        <w:t>Для множинного порівняльного аналізу використо</w:t>
      </w:r>
      <w:r w:rsidR="003E5F1B" w:rsidRPr="00E87CD9">
        <w:rPr>
          <w:b w:val="0"/>
          <w:color w:val="auto"/>
          <w:szCs w:val="28"/>
        </w:rPr>
        <w:t>-</w:t>
      </w:r>
      <w:r w:rsidRPr="00E87CD9">
        <w:rPr>
          <w:b w:val="0"/>
          <w:color w:val="auto"/>
          <w:szCs w:val="28"/>
        </w:rPr>
        <w:t>вувались критерії Даннета (у випадку порівняння з контрольною групою) та Дункана (міжгрупове порівняння). Критичний рівень статистичної значимості (p) приймався ≤ 5 % (р≤0,05) (</w:t>
      </w:r>
      <w:r w:rsidRPr="00E87CD9">
        <w:rPr>
          <w:b w:val="0"/>
          <w:color w:val="auto"/>
          <w:kern w:val="28"/>
          <w:szCs w:val="28"/>
        </w:rPr>
        <w:t xml:space="preserve">А. Н. Наркевич, К. А. Виноградов, 2019; </w:t>
      </w:r>
      <w:r w:rsidRPr="00E87CD9">
        <w:rPr>
          <w:b w:val="0"/>
          <w:iCs/>
          <w:color w:val="auto"/>
          <w:szCs w:val="28"/>
          <w:lang w:eastAsia="ru-RU"/>
        </w:rPr>
        <w:t xml:space="preserve">А. М. Гржибовский </w:t>
      </w:r>
      <w:r w:rsidRPr="00E87CD9">
        <w:rPr>
          <w:b w:val="0"/>
          <w:color w:val="auto"/>
          <w:szCs w:val="28"/>
          <w:shd w:val="clear" w:color="auto" w:fill="FFFFFF"/>
        </w:rPr>
        <w:t xml:space="preserve">з співавт., 2016; </w:t>
      </w:r>
      <w:r w:rsidRPr="00E87CD9">
        <w:rPr>
          <w:b w:val="0"/>
          <w:color w:val="auto"/>
          <w:szCs w:val="28"/>
        </w:rPr>
        <w:t xml:space="preserve">О. В. Красько 2014; </w:t>
      </w:r>
      <w:r w:rsidRPr="00E87CD9">
        <w:rPr>
          <w:b w:val="0"/>
          <w:color w:val="auto"/>
          <w:kern w:val="28"/>
          <w:szCs w:val="28"/>
        </w:rPr>
        <w:t xml:space="preserve">О. Ю. </w:t>
      </w:r>
      <w:r w:rsidRPr="00E87CD9">
        <w:rPr>
          <w:b w:val="0"/>
          <w:color w:val="auto"/>
          <w:szCs w:val="28"/>
        </w:rPr>
        <w:t>Ребр</w:t>
      </w:r>
      <w:r w:rsidRPr="00E87CD9">
        <w:rPr>
          <w:b w:val="0"/>
          <w:color w:val="auto"/>
          <w:kern w:val="28"/>
          <w:szCs w:val="28"/>
        </w:rPr>
        <w:t>ова, 2006</w:t>
      </w:r>
      <w:r w:rsidRPr="00E87CD9">
        <w:rPr>
          <w:b w:val="0"/>
          <w:color w:val="auto"/>
          <w:szCs w:val="28"/>
        </w:rPr>
        <w:t>).</w:t>
      </w:r>
    </w:p>
    <w:p w:rsidR="00417DC7" w:rsidRPr="00E87CD9" w:rsidRDefault="00110490" w:rsidP="00110490">
      <w:pPr>
        <w:pStyle w:val="3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b w:val="0"/>
          <w:color w:val="auto"/>
          <w:szCs w:val="28"/>
        </w:rPr>
      </w:pPr>
      <w:r w:rsidRPr="00E87CD9">
        <w:rPr>
          <w:b w:val="0"/>
          <w:color w:val="auto"/>
          <w:szCs w:val="28"/>
        </w:rPr>
        <w:t>У</w:t>
      </w:r>
      <w:r w:rsidR="00417DC7" w:rsidRPr="00E87CD9">
        <w:rPr>
          <w:b w:val="0"/>
          <w:color w:val="auto"/>
          <w:szCs w:val="28"/>
        </w:rPr>
        <w:t>сі використані при виконанні даної роботи одиниці вимірювання та параметри наведені у відповідності до міжнародної системи одиниць (О.П. Минцер, 1982; Г.Ф. Лакин, 1990; С. Гланц, 1998; С.Н. Лапач, 2001; А.А. Халафян, 2007).</w:t>
      </w:r>
    </w:p>
    <w:p w:rsidR="00417DC7" w:rsidRPr="00E87CD9" w:rsidRDefault="00417DC7" w:rsidP="00417DC7">
      <w:pPr>
        <w:ind w:firstLine="709"/>
        <w:jc w:val="center"/>
        <w:rPr>
          <w:b/>
          <w:color w:val="auto"/>
          <w:sz w:val="28"/>
          <w:szCs w:val="28"/>
        </w:rPr>
      </w:pPr>
      <w:r w:rsidRPr="00E87CD9">
        <w:rPr>
          <w:b/>
          <w:color w:val="auto"/>
          <w:sz w:val="28"/>
          <w:szCs w:val="28"/>
        </w:rPr>
        <w:t>Результати досліджень та їх обговорення</w:t>
      </w:r>
    </w:p>
    <w:p w:rsidR="00417DC7" w:rsidRPr="00E87CD9" w:rsidRDefault="00417DC7" w:rsidP="00417DC7">
      <w:pPr>
        <w:ind w:firstLine="709"/>
        <w:jc w:val="both"/>
        <w:rPr>
          <w:rFonts w:eastAsia="Calibri"/>
          <w:iCs/>
          <w:color w:val="auto"/>
          <w:sz w:val="28"/>
          <w:szCs w:val="28"/>
        </w:rPr>
      </w:pPr>
      <w:r w:rsidRPr="00E87CD9">
        <w:rPr>
          <w:i/>
          <w:color w:val="auto"/>
          <w:sz w:val="28"/>
          <w:szCs w:val="28"/>
        </w:rPr>
        <w:t>Оцінка аналгетичної дії</w:t>
      </w:r>
      <w:r w:rsidRPr="00E87CD9">
        <w:rPr>
          <w:bCs/>
          <w:i/>
          <w:color w:val="auto"/>
          <w:sz w:val="28"/>
          <w:szCs w:val="28"/>
        </w:rPr>
        <w:t xml:space="preserve"> НПЗЗ та парацетамолу при коморбідній патології.</w:t>
      </w:r>
      <w:r w:rsidRPr="00E87CD9">
        <w:rPr>
          <w:color w:val="auto"/>
          <w:sz w:val="28"/>
          <w:szCs w:val="28"/>
        </w:rPr>
        <w:t xml:space="preserve">Відомо, що больовий поріг свідчить про </w:t>
      </w:r>
      <w:r w:rsidR="00D90D8E" w:rsidRPr="00E87CD9">
        <w:rPr>
          <w:color w:val="auto"/>
          <w:sz w:val="28"/>
          <w:szCs w:val="28"/>
        </w:rPr>
        <w:t>ступі</w:t>
      </w:r>
      <w:r w:rsidRPr="00E87CD9">
        <w:rPr>
          <w:color w:val="auto"/>
          <w:sz w:val="28"/>
          <w:szCs w:val="28"/>
        </w:rPr>
        <w:t>нь подразнення нервової системи</w:t>
      </w:r>
      <w:r w:rsidR="00D90D8E" w:rsidRPr="00E87CD9">
        <w:rPr>
          <w:color w:val="auto"/>
          <w:sz w:val="28"/>
          <w:szCs w:val="28"/>
        </w:rPr>
        <w:t>,за</w:t>
      </w:r>
      <w:r w:rsidRPr="00E87CD9">
        <w:rPr>
          <w:color w:val="auto"/>
          <w:sz w:val="28"/>
          <w:szCs w:val="28"/>
        </w:rPr>
        <w:t xml:space="preserve"> яко</w:t>
      </w:r>
      <w:r w:rsidR="00D90D8E" w:rsidRPr="00E87CD9">
        <w:rPr>
          <w:color w:val="auto"/>
          <w:sz w:val="28"/>
          <w:szCs w:val="28"/>
        </w:rPr>
        <w:t>го</w:t>
      </w:r>
      <w:r w:rsidRPr="00E87CD9">
        <w:rPr>
          <w:color w:val="auto"/>
          <w:sz w:val="28"/>
          <w:szCs w:val="28"/>
        </w:rPr>
        <w:t xml:space="preserve"> відчувається біль. </w:t>
      </w:r>
      <w:r w:rsidR="00D90D8E" w:rsidRPr="00E87CD9">
        <w:rPr>
          <w:color w:val="auto"/>
          <w:sz w:val="28"/>
          <w:szCs w:val="28"/>
        </w:rPr>
        <w:t>О</w:t>
      </w:r>
      <w:r w:rsidRPr="00E87CD9">
        <w:rPr>
          <w:rFonts w:eastAsia="Calibri"/>
          <w:iCs/>
          <w:color w:val="auto"/>
          <w:sz w:val="28"/>
          <w:szCs w:val="28"/>
        </w:rPr>
        <w:t>стеоартроз призводить до зниження порогу больової чутливості</w:t>
      </w:r>
      <w:r w:rsidR="00D90D8E" w:rsidRPr="00E87CD9">
        <w:rPr>
          <w:rFonts w:eastAsia="Calibri"/>
          <w:iCs/>
          <w:color w:val="auto"/>
          <w:sz w:val="28"/>
          <w:szCs w:val="28"/>
        </w:rPr>
        <w:t>, що і було підтверджено нашими дослідженнями</w:t>
      </w:r>
      <w:r w:rsidR="00DD6C9C" w:rsidRPr="00E87CD9">
        <w:rPr>
          <w:rFonts w:eastAsia="Calibri"/>
          <w:iCs/>
          <w:color w:val="auto"/>
          <w:sz w:val="28"/>
          <w:szCs w:val="28"/>
        </w:rPr>
        <w:t>, за результатами яких</w:t>
      </w:r>
      <w:r w:rsidR="00D90D8E" w:rsidRPr="00E87CD9">
        <w:rPr>
          <w:rFonts w:eastAsia="Calibri"/>
          <w:iCs/>
          <w:color w:val="auto"/>
          <w:sz w:val="28"/>
          <w:szCs w:val="28"/>
        </w:rPr>
        <w:t xml:space="preserve"> встановлене зростання больового відчуття у щурів </w:t>
      </w:r>
      <w:r w:rsidRPr="00E87CD9">
        <w:rPr>
          <w:rFonts w:eastAsia="Calibri"/>
          <w:iCs/>
          <w:color w:val="auto"/>
          <w:sz w:val="28"/>
          <w:szCs w:val="28"/>
        </w:rPr>
        <w:t>порівнян</w:t>
      </w:r>
      <w:r w:rsidR="00D90D8E" w:rsidRPr="00E87CD9">
        <w:rPr>
          <w:rFonts w:eastAsia="Calibri"/>
          <w:iCs/>
          <w:color w:val="auto"/>
          <w:sz w:val="28"/>
          <w:szCs w:val="28"/>
        </w:rPr>
        <w:t xml:space="preserve">о </w:t>
      </w:r>
      <w:r w:rsidRPr="00E87CD9">
        <w:rPr>
          <w:rFonts w:eastAsia="Calibri"/>
          <w:iCs/>
          <w:color w:val="auto"/>
          <w:sz w:val="28"/>
          <w:szCs w:val="28"/>
        </w:rPr>
        <w:t xml:space="preserve">з </w:t>
      </w:r>
      <w:r w:rsidR="005F3E6A" w:rsidRPr="00E87CD9">
        <w:rPr>
          <w:rFonts w:eastAsia="Calibri"/>
          <w:iCs/>
          <w:color w:val="auto"/>
          <w:sz w:val="28"/>
          <w:szCs w:val="28"/>
          <w:lang w:val="ru-RU"/>
        </w:rPr>
        <w:t xml:space="preserve">групою </w:t>
      </w:r>
      <w:r w:rsidR="00D90D8E" w:rsidRPr="00E87CD9">
        <w:rPr>
          <w:rFonts w:eastAsia="Calibri"/>
          <w:iCs/>
          <w:color w:val="auto"/>
          <w:sz w:val="28"/>
          <w:szCs w:val="28"/>
        </w:rPr>
        <w:t xml:space="preserve">інтактних тварин </w:t>
      </w:r>
      <w:r w:rsidRPr="00E87CD9">
        <w:rPr>
          <w:rFonts w:eastAsia="Calibri"/>
          <w:iCs/>
          <w:color w:val="auto"/>
          <w:sz w:val="28"/>
          <w:szCs w:val="28"/>
        </w:rPr>
        <w:t>на 24% (р&lt;0,0</w:t>
      </w:r>
      <w:r w:rsidR="004A5AB5" w:rsidRPr="00E87CD9">
        <w:rPr>
          <w:rFonts w:eastAsia="Calibri"/>
          <w:iCs/>
          <w:color w:val="auto"/>
          <w:sz w:val="28"/>
          <w:szCs w:val="28"/>
        </w:rPr>
        <w:t>5</w:t>
      </w:r>
      <w:r w:rsidRPr="00E87CD9">
        <w:rPr>
          <w:rFonts w:eastAsia="Calibri"/>
          <w:iCs/>
          <w:color w:val="auto"/>
          <w:sz w:val="28"/>
          <w:szCs w:val="28"/>
        </w:rPr>
        <w:t>)</w:t>
      </w:r>
      <w:r w:rsidR="006A4470" w:rsidRPr="00E87CD9">
        <w:rPr>
          <w:rFonts w:eastAsia="Calibri"/>
          <w:iCs/>
          <w:color w:val="auto"/>
          <w:sz w:val="28"/>
          <w:szCs w:val="28"/>
        </w:rPr>
        <w:t>, тоді як за коморбідного стану – ОА, асоційованого з ГІТ</w:t>
      </w:r>
      <w:r w:rsidR="005F3E6A" w:rsidRPr="00E87CD9">
        <w:rPr>
          <w:rFonts w:eastAsia="Calibri"/>
          <w:iCs/>
          <w:color w:val="auto"/>
          <w:sz w:val="28"/>
          <w:szCs w:val="28"/>
          <w:lang w:val="ru-RU"/>
        </w:rPr>
        <w:t>,</w:t>
      </w:r>
      <w:r w:rsidR="006A4470" w:rsidRPr="00E87CD9">
        <w:rPr>
          <w:rFonts w:eastAsia="Calibri"/>
          <w:iCs/>
          <w:color w:val="auto"/>
          <w:sz w:val="28"/>
          <w:szCs w:val="28"/>
        </w:rPr>
        <w:t xml:space="preserve"> спостерігалося зниження порогу больової чутливості </w:t>
      </w:r>
      <w:r w:rsidR="00364504" w:rsidRPr="00E87CD9">
        <w:rPr>
          <w:rFonts w:eastAsia="Calibri"/>
          <w:iCs/>
          <w:color w:val="auto"/>
          <w:sz w:val="28"/>
          <w:szCs w:val="28"/>
        </w:rPr>
        <w:t xml:space="preserve">порівняно до показника в інтактних тварин </w:t>
      </w:r>
      <w:r w:rsidR="006A4470" w:rsidRPr="00E87CD9">
        <w:rPr>
          <w:rFonts w:eastAsia="Calibri"/>
          <w:iCs/>
          <w:color w:val="auto"/>
          <w:sz w:val="28"/>
          <w:szCs w:val="28"/>
        </w:rPr>
        <w:t>лише на 17%(р&lt;0,05</w:t>
      </w:r>
      <w:r w:rsidRPr="00E87CD9">
        <w:rPr>
          <w:rFonts w:eastAsia="Calibri"/>
          <w:iCs/>
          <w:color w:val="auto"/>
          <w:sz w:val="28"/>
          <w:szCs w:val="28"/>
        </w:rPr>
        <w:t>).</w:t>
      </w:r>
    </w:p>
    <w:p w:rsidR="004A5AB5" w:rsidRPr="00E87CD9" w:rsidRDefault="0084163C" w:rsidP="0084163C">
      <w:pPr>
        <w:ind w:firstLine="709"/>
        <w:jc w:val="both"/>
        <w:rPr>
          <w:rFonts w:eastAsia="Calibri"/>
          <w:iCs/>
          <w:color w:val="auto"/>
          <w:sz w:val="28"/>
          <w:szCs w:val="28"/>
        </w:rPr>
      </w:pPr>
      <w:r w:rsidRPr="00E87CD9">
        <w:rPr>
          <w:rFonts w:eastAsia="Calibri"/>
          <w:iCs/>
          <w:color w:val="auto"/>
          <w:sz w:val="28"/>
          <w:szCs w:val="28"/>
        </w:rPr>
        <w:t xml:space="preserve">На </w:t>
      </w:r>
      <w:r w:rsidR="00724312" w:rsidRPr="00E87CD9">
        <w:rPr>
          <w:rFonts w:eastAsia="Calibri"/>
          <w:iCs/>
          <w:color w:val="auto"/>
          <w:sz w:val="28"/>
          <w:szCs w:val="28"/>
        </w:rPr>
        <w:t>тлі</w:t>
      </w:r>
      <w:r w:rsidRPr="00E87CD9">
        <w:rPr>
          <w:rFonts w:eastAsia="Calibri"/>
          <w:iCs/>
          <w:color w:val="auto"/>
          <w:sz w:val="28"/>
          <w:szCs w:val="28"/>
        </w:rPr>
        <w:t xml:space="preserve"> експериментального ОА у щурів за ступенем антиноцицептивної активності на моделі електричного подразнення на піку розвитку знеболювальної дії (90 хвилина тестування) НПЗЗ розташувалися у наступному порядку: </w:t>
      </w:r>
      <w:r w:rsidR="004A5AB5" w:rsidRPr="00E87CD9">
        <w:rPr>
          <w:rFonts w:eastAsia="Calibri"/>
          <w:iCs/>
          <w:color w:val="auto"/>
          <w:sz w:val="28"/>
          <w:szCs w:val="28"/>
        </w:rPr>
        <w:t>диклофенак натрію (+184%) (</w:t>
      </w:r>
      <w:r w:rsidR="004A5AB5" w:rsidRPr="00E87CD9">
        <w:rPr>
          <w:color w:val="auto"/>
          <w:sz w:val="28"/>
          <w:szCs w:val="28"/>
        </w:rPr>
        <w:t>р</w:t>
      </w:r>
      <w:r w:rsidR="004A5AB5" w:rsidRPr="00E87CD9">
        <w:rPr>
          <w:rFonts w:eastAsia="Calibri"/>
          <w:iCs/>
          <w:color w:val="auto"/>
          <w:sz w:val="28"/>
          <w:szCs w:val="28"/>
        </w:rPr>
        <w:t>&lt;</w:t>
      </w:r>
      <w:r w:rsidR="004A5AB5" w:rsidRPr="00E87CD9">
        <w:rPr>
          <w:color w:val="auto"/>
          <w:sz w:val="28"/>
          <w:szCs w:val="28"/>
        </w:rPr>
        <w:t xml:space="preserve">0,001) </w:t>
      </w:r>
      <w:r w:rsidR="004A5AB5" w:rsidRPr="00E87CD9">
        <w:rPr>
          <w:rFonts w:eastAsia="Calibri"/>
          <w:iCs/>
          <w:color w:val="auto"/>
          <w:sz w:val="28"/>
          <w:szCs w:val="28"/>
        </w:rPr>
        <w:t>≥ німесулід (+156%) (</w:t>
      </w:r>
      <w:r w:rsidR="004A5AB5" w:rsidRPr="00E87CD9">
        <w:rPr>
          <w:color w:val="auto"/>
          <w:sz w:val="28"/>
          <w:szCs w:val="28"/>
        </w:rPr>
        <w:t>р</w:t>
      </w:r>
      <w:r w:rsidR="004A5AB5" w:rsidRPr="00E87CD9">
        <w:rPr>
          <w:rFonts w:eastAsia="Calibri"/>
          <w:iCs/>
          <w:color w:val="auto"/>
          <w:sz w:val="28"/>
          <w:szCs w:val="28"/>
        </w:rPr>
        <w:t>&lt;</w:t>
      </w:r>
      <w:r w:rsidR="004A5AB5" w:rsidRPr="00E87CD9">
        <w:rPr>
          <w:color w:val="auto"/>
          <w:sz w:val="28"/>
          <w:szCs w:val="28"/>
        </w:rPr>
        <w:t xml:space="preserve">0,001) </w:t>
      </w:r>
      <w:r w:rsidR="004A5AB5" w:rsidRPr="00E87CD9">
        <w:rPr>
          <w:rFonts w:eastAsia="Calibri"/>
          <w:iCs/>
          <w:color w:val="auto"/>
          <w:sz w:val="28"/>
          <w:szCs w:val="28"/>
        </w:rPr>
        <w:t>≥ мелоксикам (+149%) (</w:t>
      </w:r>
      <w:r w:rsidR="004A5AB5" w:rsidRPr="00E87CD9">
        <w:rPr>
          <w:color w:val="auto"/>
          <w:sz w:val="28"/>
          <w:szCs w:val="28"/>
        </w:rPr>
        <w:t>р</w:t>
      </w:r>
      <w:r w:rsidR="004A5AB5" w:rsidRPr="00E87CD9">
        <w:rPr>
          <w:rFonts w:eastAsia="Calibri"/>
          <w:iCs/>
          <w:color w:val="auto"/>
          <w:sz w:val="28"/>
          <w:szCs w:val="28"/>
        </w:rPr>
        <w:t>&lt;</w:t>
      </w:r>
      <w:r w:rsidR="004A5AB5" w:rsidRPr="00E87CD9">
        <w:rPr>
          <w:color w:val="auto"/>
          <w:sz w:val="28"/>
          <w:szCs w:val="28"/>
        </w:rPr>
        <w:t>0,001)</w:t>
      </w:r>
      <w:r w:rsidR="004A5AB5" w:rsidRPr="00E87CD9">
        <w:rPr>
          <w:rFonts w:eastAsia="Calibri"/>
          <w:iCs/>
          <w:color w:val="auto"/>
          <w:sz w:val="28"/>
          <w:szCs w:val="28"/>
        </w:rPr>
        <w:t xml:space="preserve"> ≥ ібупрофен (+113%) (</w:t>
      </w:r>
      <w:r w:rsidR="004A5AB5" w:rsidRPr="00E87CD9">
        <w:rPr>
          <w:color w:val="auto"/>
          <w:sz w:val="28"/>
          <w:szCs w:val="28"/>
        </w:rPr>
        <w:t>р</w:t>
      </w:r>
      <w:r w:rsidR="004A5AB5" w:rsidRPr="00E87CD9">
        <w:rPr>
          <w:rFonts w:eastAsia="Calibri"/>
          <w:iCs/>
          <w:color w:val="auto"/>
          <w:sz w:val="28"/>
          <w:szCs w:val="28"/>
        </w:rPr>
        <w:t>&lt;</w:t>
      </w:r>
      <w:r w:rsidR="004A5AB5" w:rsidRPr="00E87CD9">
        <w:rPr>
          <w:color w:val="auto"/>
          <w:sz w:val="28"/>
          <w:szCs w:val="28"/>
        </w:rPr>
        <w:t xml:space="preserve">0,001) </w:t>
      </w:r>
      <w:r w:rsidR="004A5AB5" w:rsidRPr="00E87CD9">
        <w:rPr>
          <w:rFonts w:eastAsia="Calibri"/>
          <w:iCs/>
          <w:color w:val="auto"/>
          <w:sz w:val="28"/>
          <w:szCs w:val="28"/>
        </w:rPr>
        <w:t>≥ целекоксиб (+84%) (</w:t>
      </w:r>
      <w:r w:rsidR="004A5AB5" w:rsidRPr="00E87CD9">
        <w:rPr>
          <w:color w:val="auto"/>
          <w:sz w:val="28"/>
          <w:szCs w:val="28"/>
        </w:rPr>
        <w:t>р</w:t>
      </w:r>
      <w:r w:rsidR="004A5AB5" w:rsidRPr="00E87CD9">
        <w:rPr>
          <w:rFonts w:eastAsia="Calibri"/>
          <w:iCs/>
          <w:color w:val="auto"/>
          <w:sz w:val="28"/>
          <w:szCs w:val="28"/>
        </w:rPr>
        <w:t>&lt;</w:t>
      </w:r>
      <w:r w:rsidR="004A5AB5" w:rsidRPr="00E87CD9">
        <w:rPr>
          <w:color w:val="auto"/>
          <w:sz w:val="28"/>
          <w:szCs w:val="28"/>
        </w:rPr>
        <w:t xml:space="preserve">0,001) </w:t>
      </w:r>
      <w:r w:rsidR="004A5AB5" w:rsidRPr="00E87CD9">
        <w:rPr>
          <w:rFonts w:eastAsia="Calibri"/>
          <w:iCs/>
          <w:color w:val="auto"/>
          <w:sz w:val="28"/>
          <w:szCs w:val="28"/>
        </w:rPr>
        <w:t>≥ парацетамол (+64%) (</w:t>
      </w:r>
      <w:r w:rsidR="004A5AB5" w:rsidRPr="00E87CD9">
        <w:rPr>
          <w:color w:val="auto"/>
          <w:sz w:val="28"/>
          <w:szCs w:val="28"/>
        </w:rPr>
        <w:t>р</w:t>
      </w:r>
      <w:r w:rsidR="004A5AB5" w:rsidRPr="00E87CD9">
        <w:rPr>
          <w:rFonts w:eastAsia="Calibri"/>
          <w:iCs/>
          <w:color w:val="auto"/>
          <w:sz w:val="28"/>
          <w:szCs w:val="28"/>
        </w:rPr>
        <w:t>&lt;</w:t>
      </w:r>
      <w:r w:rsidR="004A5AB5" w:rsidRPr="00E87CD9">
        <w:rPr>
          <w:color w:val="auto"/>
          <w:sz w:val="28"/>
          <w:szCs w:val="28"/>
        </w:rPr>
        <w:t>0,001)</w:t>
      </w:r>
      <w:r w:rsidR="004A5AB5" w:rsidRPr="00E87CD9">
        <w:rPr>
          <w:rFonts w:eastAsia="Calibri"/>
          <w:iCs/>
          <w:color w:val="auto"/>
          <w:sz w:val="28"/>
          <w:szCs w:val="28"/>
        </w:rPr>
        <w:t xml:space="preserve"> порівняно до групи ЕОА (рис. 1).</w:t>
      </w:r>
    </w:p>
    <w:p w:rsidR="00900D02" w:rsidRPr="00E87CD9" w:rsidRDefault="00900D02" w:rsidP="00900D02">
      <w:pPr>
        <w:ind w:firstLine="709"/>
        <w:jc w:val="both"/>
        <w:rPr>
          <w:rFonts w:eastAsia="Calibri"/>
          <w:iCs/>
          <w:color w:val="auto"/>
          <w:sz w:val="28"/>
          <w:szCs w:val="28"/>
        </w:rPr>
      </w:pPr>
      <w:r w:rsidRPr="00E87CD9">
        <w:rPr>
          <w:rFonts w:eastAsia="Calibri"/>
          <w:iCs/>
          <w:color w:val="auto"/>
          <w:sz w:val="28"/>
          <w:szCs w:val="28"/>
        </w:rPr>
        <w:t xml:space="preserve">За результатами, отриманими у тварин з коморбідним станом, встановлене значне зниження знеболювальної активності всіх досліджуваних препаратів та дещо змінений порядок їхнього розташування у переліку за ступенем аналгезії: диклофенак натрію (+164%) </w:t>
      </w:r>
      <w:r w:rsidRPr="00E87CD9">
        <w:rPr>
          <w:rFonts w:eastAsia="Calibri"/>
          <w:color w:val="auto"/>
          <w:sz w:val="28"/>
          <w:szCs w:val="28"/>
        </w:rPr>
        <w:t>(р</w:t>
      </w:r>
      <w:r w:rsidRPr="00E87CD9">
        <w:rPr>
          <w:rFonts w:eastAsia="Calibri"/>
          <w:iCs/>
          <w:color w:val="auto"/>
          <w:sz w:val="28"/>
          <w:szCs w:val="28"/>
        </w:rPr>
        <w:t>&lt;</w:t>
      </w:r>
      <w:r w:rsidRPr="00E87CD9">
        <w:rPr>
          <w:rFonts w:eastAsia="Calibri"/>
          <w:color w:val="auto"/>
          <w:sz w:val="28"/>
          <w:szCs w:val="28"/>
        </w:rPr>
        <w:t xml:space="preserve">0,001) </w:t>
      </w:r>
      <w:r w:rsidRPr="00E87CD9">
        <w:rPr>
          <w:rFonts w:eastAsia="Calibri"/>
          <w:iCs/>
          <w:color w:val="auto"/>
          <w:sz w:val="28"/>
          <w:szCs w:val="28"/>
        </w:rPr>
        <w:t xml:space="preserve">≥ німесулід (+104%) </w:t>
      </w:r>
      <w:r w:rsidRPr="00E87CD9">
        <w:rPr>
          <w:rFonts w:eastAsia="Calibri"/>
          <w:color w:val="auto"/>
          <w:sz w:val="28"/>
          <w:szCs w:val="28"/>
        </w:rPr>
        <w:t>(р</w:t>
      </w:r>
      <w:r w:rsidRPr="00E87CD9">
        <w:rPr>
          <w:rFonts w:eastAsia="Calibri"/>
          <w:iCs/>
          <w:color w:val="auto"/>
          <w:sz w:val="28"/>
          <w:szCs w:val="28"/>
        </w:rPr>
        <w:t>&lt;</w:t>
      </w:r>
      <w:r w:rsidRPr="00E87CD9">
        <w:rPr>
          <w:rFonts w:eastAsia="Calibri"/>
          <w:color w:val="auto"/>
          <w:sz w:val="28"/>
          <w:szCs w:val="28"/>
        </w:rPr>
        <w:t xml:space="preserve">0,001) </w:t>
      </w:r>
      <w:r w:rsidRPr="00E87CD9">
        <w:rPr>
          <w:rFonts w:eastAsia="Calibri"/>
          <w:iCs/>
          <w:color w:val="auto"/>
          <w:sz w:val="28"/>
          <w:szCs w:val="28"/>
        </w:rPr>
        <w:t xml:space="preserve">≥ ібупрофен (+101%) </w:t>
      </w:r>
      <w:r w:rsidRPr="00E87CD9">
        <w:rPr>
          <w:rFonts w:eastAsia="Calibri"/>
          <w:color w:val="auto"/>
          <w:sz w:val="28"/>
          <w:szCs w:val="28"/>
        </w:rPr>
        <w:t>(р</w:t>
      </w:r>
      <w:r w:rsidRPr="00E87CD9">
        <w:rPr>
          <w:rFonts w:eastAsia="Calibri"/>
          <w:iCs/>
          <w:color w:val="auto"/>
          <w:sz w:val="28"/>
          <w:szCs w:val="28"/>
        </w:rPr>
        <w:t>&lt;</w:t>
      </w:r>
      <w:r w:rsidRPr="00E87CD9">
        <w:rPr>
          <w:rFonts w:eastAsia="Calibri"/>
          <w:color w:val="auto"/>
          <w:sz w:val="28"/>
          <w:szCs w:val="28"/>
        </w:rPr>
        <w:t xml:space="preserve">0,001) </w:t>
      </w:r>
      <w:r w:rsidRPr="00E87CD9">
        <w:rPr>
          <w:rFonts w:eastAsia="Calibri"/>
          <w:iCs/>
          <w:color w:val="auto"/>
          <w:sz w:val="28"/>
          <w:szCs w:val="28"/>
        </w:rPr>
        <w:t xml:space="preserve">≥ мелоксикам (+99%) </w:t>
      </w:r>
      <w:r w:rsidRPr="00E87CD9">
        <w:rPr>
          <w:rFonts w:eastAsia="Calibri"/>
          <w:color w:val="auto"/>
          <w:sz w:val="28"/>
          <w:szCs w:val="28"/>
        </w:rPr>
        <w:t>(р</w:t>
      </w:r>
      <w:r w:rsidRPr="00E87CD9">
        <w:rPr>
          <w:rFonts w:eastAsia="Calibri"/>
          <w:iCs/>
          <w:color w:val="auto"/>
          <w:sz w:val="28"/>
          <w:szCs w:val="28"/>
        </w:rPr>
        <w:t>&lt;</w:t>
      </w:r>
      <w:r w:rsidRPr="00E87CD9">
        <w:rPr>
          <w:rFonts w:eastAsia="Calibri"/>
          <w:color w:val="auto"/>
          <w:sz w:val="28"/>
          <w:szCs w:val="28"/>
        </w:rPr>
        <w:t xml:space="preserve">0,001) </w:t>
      </w:r>
      <w:r w:rsidRPr="00E87CD9">
        <w:rPr>
          <w:rFonts w:eastAsia="Calibri"/>
          <w:iCs/>
          <w:color w:val="auto"/>
          <w:sz w:val="28"/>
          <w:szCs w:val="28"/>
        </w:rPr>
        <w:t xml:space="preserve">≥ целекоксиб (+59%) </w:t>
      </w:r>
      <w:r w:rsidRPr="00E87CD9">
        <w:rPr>
          <w:rFonts w:eastAsia="Calibri"/>
          <w:color w:val="auto"/>
          <w:sz w:val="28"/>
          <w:szCs w:val="28"/>
        </w:rPr>
        <w:t>(р</w:t>
      </w:r>
      <w:r w:rsidRPr="00E87CD9">
        <w:rPr>
          <w:rFonts w:eastAsia="Calibri"/>
          <w:iCs/>
          <w:color w:val="auto"/>
          <w:sz w:val="28"/>
          <w:szCs w:val="28"/>
        </w:rPr>
        <w:t>&lt;</w:t>
      </w:r>
      <w:r w:rsidRPr="00E87CD9">
        <w:rPr>
          <w:rFonts w:eastAsia="Calibri"/>
          <w:color w:val="auto"/>
          <w:sz w:val="28"/>
          <w:szCs w:val="28"/>
        </w:rPr>
        <w:t xml:space="preserve">0,001) </w:t>
      </w:r>
      <w:r w:rsidRPr="00E87CD9">
        <w:rPr>
          <w:rFonts w:eastAsia="Calibri"/>
          <w:iCs/>
          <w:color w:val="auto"/>
          <w:sz w:val="28"/>
          <w:szCs w:val="28"/>
        </w:rPr>
        <w:t xml:space="preserve">≥ парацетамол (+33%) </w:t>
      </w:r>
      <w:r w:rsidRPr="00E87CD9">
        <w:rPr>
          <w:rFonts w:eastAsia="Calibri"/>
          <w:color w:val="auto"/>
          <w:sz w:val="28"/>
          <w:szCs w:val="28"/>
        </w:rPr>
        <w:t>(р</w:t>
      </w:r>
      <w:r w:rsidRPr="00E87CD9">
        <w:rPr>
          <w:rFonts w:eastAsia="Calibri"/>
          <w:iCs/>
          <w:color w:val="auto"/>
          <w:sz w:val="28"/>
          <w:szCs w:val="28"/>
        </w:rPr>
        <w:t>&lt;</w:t>
      </w:r>
      <w:r w:rsidRPr="00E87CD9">
        <w:rPr>
          <w:rFonts w:eastAsia="Calibri"/>
          <w:color w:val="auto"/>
          <w:sz w:val="28"/>
          <w:szCs w:val="28"/>
        </w:rPr>
        <w:t>0,05)</w:t>
      </w:r>
      <w:r w:rsidRPr="00E87CD9">
        <w:rPr>
          <w:rFonts w:eastAsia="Calibri"/>
          <w:iCs/>
          <w:color w:val="auto"/>
          <w:sz w:val="28"/>
          <w:szCs w:val="28"/>
        </w:rPr>
        <w:t xml:space="preserve"> (рис. 2).</w:t>
      </w:r>
    </w:p>
    <w:p w:rsidR="00B83906" w:rsidRPr="00E87CD9" w:rsidRDefault="00B83906" w:rsidP="00900D02">
      <w:pPr>
        <w:ind w:firstLine="709"/>
        <w:jc w:val="both"/>
        <w:rPr>
          <w:rFonts w:eastAsia="Calibri"/>
          <w:iCs/>
          <w:color w:val="auto"/>
          <w:sz w:val="28"/>
          <w:szCs w:val="28"/>
        </w:rPr>
      </w:pPr>
    </w:p>
    <w:p w:rsidR="00B83906" w:rsidRPr="00E87CD9" w:rsidRDefault="00B83906" w:rsidP="007741FC">
      <w:pPr>
        <w:jc w:val="center"/>
        <w:rPr>
          <w:rFonts w:eastAsia="Calibri"/>
          <w:iCs/>
          <w:color w:val="auto"/>
          <w:sz w:val="28"/>
          <w:szCs w:val="28"/>
        </w:rPr>
      </w:pPr>
      <w:r w:rsidRPr="00E87CD9">
        <w:rPr>
          <w:rFonts w:ascii="Calibri" w:eastAsia="Calibri" w:hAnsi="Calibri"/>
          <w:noProof/>
          <w:color w:val="auto"/>
          <w:lang w:val="ru-RU" w:eastAsia="ru-RU"/>
        </w:rPr>
        <w:lastRenderedPageBreak/>
        <w:drawing>
          <wp:inline distT="0" distB="0" distL="0" distR="0">
            <wp:extent cx="4939665" cy="2201333"/>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0D02" w:rsidRPr="00E87CD9" w:rsidRDefault="00417DC7" w:rsidP="00003983">
      <w:pPr>
        <w:ind w:firstLine="709"/>
        <w:jc w:val="both"/>
        <w:rPr>
          <w:bCs/>
          <w:color w:val="auto"/>
          <w:sz w:val="28"/>
          <w:szCs w:val="28"/>
        </w:rPr>
      </w:pPr>
      <w:r w:rsidRPr="00E87CD9">
        <w:rPr>
          <w:color w:val="auto"/>
          <w:sz w:val="28"/>
          <w:szCs w:val="28"/>
        </w:rPr>
        <w:t xml:space="preserve">Рис. 1. </w:t>
      </w:r>
      <w:r w:rsidR="00003983" w:rsidRPr="00E87CD9">
        <w:rPr>
          <w:bCs/>
          <w:color w:val="auto"/>
          <w:sz w:val="28"/>
          <w:szCs w:val="28"/>
        </w:rPr>
        <w:t>Зміни</w:t>
      </w:r>
      <w:r w:rsidR="009C69A1" w:rsidRPr="00E87CD9">
        <w:rPr>
          <w:bCs/>
          <w:color w:val="auto"/>
          <w:sz w:val="28"/>
          <w:szCs w:val="28"/>
        </w:rPr>
        <w:t xml:space="preserve"> антиноцицептивного потенціалу НПЗЗ та парацетамолу за умов експериментального остеоартрозу відносно групи активного контролю (90 хвилина).</w:t>
      </w:r>
    </w:p>
    <w:p w:rsidR="00003983" w:rsidRPr="00E87CD9" w:rsidRDefault="009C69A1" w:rsidP="00003983">
      <w:pPr>
        <w:ind w:firstLine="709"/>
        <w:jc w:val="both"/>
        <w:rPr>
          <w:color w:val="auto"/>
        </w:rPr>
      </w:pPr>
      <w:r w:rsidRPr="00E87CD9">
        <w:rPr>
          <w:rFonts w:eastAsia="Calibri"/>
          <w:bCs/>
          <w:iCs/>
          <w:color w:val="auto"/>
          <w:sz w:val="28"/>
          <w:szCs w:val="28"/>
        </w:rPr>
        <w:t>Примітки:</w:t>
      </w:r>
      <w:r w:rsidR="00003983" w:rsidRPr="00E87CD9">
        <w:rPr>
          <w:rFonts w:eastAsia="Calibri"/>
          <w:iCs/>
          <w:color w:val="auto"/>
          <w:sz w:val="28"/>
          <w:szCs w:val="28"/>
        </w:rPr>
        <w:t xml:space="preserve"> * - р&lt;0,001; ** - р&lt;0,05 по відношенню до показників больового порогу тварин групи активного контролю (</w:t>
      </w:r>
      <w:r w:rsidR="00003983" w:rsidRPr="00E87CD9">
        <w:rPr>
          <w:color w:val="auto"/>
          <w:sz w:val="28"/>
          <w:szCs w:val="28"/>
        </w:rPr>
        <w:t>ОА</w:t>
      </w:r>
      <w:r w:rsidR="00003983" w:rsidRPr="00E87CD9">
        <w:rPr>
          <w:rFonts w:eastAsia="Calibri"/>
          <w:iCs/>
          <w:color w:val="auto"/>
          <w:sz w:val="28"/>
          <w:szCs w:val="28"/>
        </w:rPr>
        <w:t>), критерій Даннета;</w:t>
      </w:r>
    </w:p>
    <w:p w:rsidR="00003983" w:rsidRPr="00E87CD9" w:rsidRDefault="00003983" w:rsidP="00003983">
      <w:pPr>
        <w:ind w:firstLine="709"/>
        <w:jc w:val="both"/>
        <w:rPr>
          <w:rFonts w:eastAsia="Calibri"/>
          <w:bCs/>
          <w:iCs/>
          <w:color w:val="auto"/>
          <w:sz w:val="28"/>
          <w:szCs w:val="28"/>
        </w:rPr>
      </w:pPr>
      <w:r w:rsidRPr="00E87CD9">
        <w:rPr>
          <w:rFonts w:eastAsia="Calibri"/>
          <w:bCs/>
          <w:iCs/>
          <w:color w:val="auto"/>
          <w:sz w:val="28"/>
          <w:szCs w:val="28"/>
        </w:rPr>
        <w:t xml:space="preserve"># - </w:t>
      </w:r>
      <w:r w:rsidRPr="00E87CD9">
        <w:rPr>
          <w:rFonts w:eastAsia="Calibri"/>
          <w:iCs/>
          <w:color w:val="auto"/>
          <w:sz w:val="28"/>
          <w:szCs w:val="28"/>
        </w:rPr>
        <w:t xml:space="preserve">р&lt;0,05 по відношенню до показників груп VII, VIII та інтактних тварин, </w:t>
      </w:r>
      <w:r w:rsidRPr="00E87CD9">
        <w:rPr>
          <w:rFonts w:eastAsia="Calibri"/>
          <w:bCs/>
          <w:iCs/>
          <w:color w:val="auto"/>
          <w:sz w:val="28"/>
          <w:szCs w:val="28"/>
        </w:rPr>
        <w:t>критерій Дункана.</w:t>
      </w:r>
    </w:p>
    <w:p w:rsidR="0093068F" w:rsidRPr="00E87CD9" w:rsidRDefault="0093068F" w:rsidP="00003983">
      <w:pPr>
        <w:ind w:firstLine="709"/>
        <w:jc w:val="both"/>
        <w:rPr>
          <w:rFonts w:eastAsia="Calibri"/>
          <w:bCs/>
          <w:iCs/>
          <w:color w:val="auto"/>
          <w:sz w:val="28"/>
          <w:szCs w:val="28"/>
        </w:rPr>
      </w:pPr>
    </w:p>
    <w:p w:rsidR="00417DC7" w:rsidRPr="00E87CD9" w:rsidRDefault="00894C55" w:rsidP="007741FC">
      <w:pPr>
        <w:ind w:firstLine="284"/>
        <w:jc w:val="both"/>
        <w:rPr>
          <w:b/>
          <w:color w:val="auto"/>
          <w:sz w:val="28"/>
          <w:szCs w:val="28"/>
        </w:rPr>
      </w:pPr>
      <w:r w:rsidRPr="00E87CD9">
        <w:rPr>
          <w:rFonts w:ascii="Calibri" w:eastAsia="Calibri" w:hAnsi="Calibri"/>
          <w:noProof/>
          <w:color w:val="auto"/>
          <w:lang w:val="ru-RU" w:eastAsia="ru-RU"/>
        </w:rPr>
        <w:drawing>
          <wp:inline distT="0" distB="0" distL="0" distR="0">
            <wp:extent cx="5511800" cy="22098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0D02" w:rsidRPr="00E87CD9" w:rsidRDefault="00C51F75" w:rsidP="003E5F1B">
      <w:pPr>
        <w:ind w:firstLine="709"/>
        <w:jc w:val="both"/>
        <w:rPr>
          <w:bCs/>
          <w:color w:val="auto"/>
          <w:sz w:val="28"/>
          <w:szCs w:val="28"/>
        </w:rPr>
      </w:pPr>
      <w:r w:rsidRPr="00E87CD9">
        <w:rPr>
          <w:color w:val="auto"/>
          <w:sz w:val="28"/>
          <w:szCs w:val="28"/>
        </w:rPr>
        <w:t>Рис. 2.</w:t>
      </w:r>
      <w:r w:rsidR="00003983" w:rsidRPr="00E87CD9">
        <w:rPr>
          <w:bCs/>
          <w:color w:val="auto"/>
          <w:sz w:val="28"/>
          <w:szCs w:val="28"/>
        </w:rPr>
        <w:t>Зміни</w:t>
      </w:r>
      <w:r w:rsidRPr="00E87CD9">
        <w:rPr>
          <w:bCs/>
          <w:color w:val="auto"/>
          <w:sz w:val="28"/>
          <w:szCs w:val="28"/>
        </w:rPr>
        <w:t xml:space="preserve"> антиноцицептивного потенціалу НПЗЗ та парацетамолу за умов експериментального остеоартрозу і гіпотиреозу відносно групи активного контролю (90 хвилина).</w:t>
      </w:r>
    </w:p>
    <w:p w:rsidR="00332B9A" w:rsidRPr="00E87CD9" w:rsidRDefault="00C51F75" w:rsidP="003E5F1B">
      <w:pPr>
        <w:ind w:firstLine="709"/>
        <w:jc w:val="both"/>
        <w:rPr>
          <w:rFonts w:eastAsia="Calibri"/>
          <w:bCs/>
          <w:iCs/>
          <w:color w:val="auto"/>
          <w:sz w:val="28"/>
          <w:szCs w:val="28"/>
        </w:rPr>
      </w:pPr>
      <w:r w:rsidRPr="00E87CD9">
        <w:rPr>
          <w:rFonts w:eastAsia="Calibri"/>
          <w:bCs/>
          <w:iCs/>
          <w:color w:val="auto"/>
          <w:sz w:val="28"/>
          <w:szCs w:val="28"/>
        </w:rPr>
        <w:t>Примітки:</w:t>
      </w:r>
      <w:r w:rsidR="00332B9A" w:rsidRPr="00E87CD9">
        <w:rPr>
          <w:rFonts w:eastAsia="Calibri"/>
          <w:iCs/>
          <w:color w:val="auto"/>
          <w:sz w:val="28"/>
          <w:szCs w:val="28"/>
        </w:rPr>
        <w:t>* - р&lt;0,001; ** - р&lt;0,05 по відношенню до показників больового порогу тварин групи активного контролю (</w:t>
      </w:r>
      <w:r w:rsidR="00332B9A" w:rsidRPr="00E87CD9">
        <w:rPr>
          <w:color w:val="auto"/>
          <w:sz w:val="28"/>
          <w:szCs w:val="28"/>
        </w:rPr>
        <w:t>ОА+</w:t>
      </w:r>
      <w:r w:rsidR="003E5F1B" w:rsidRPr="00E87CD9">
        <w:rPr>
          <w:color w:val="auto"/>
          <w:sz w:val="28"/>
          <w:szCs w:val="28"/>
        </w:rPr>
        <w:t>ГІТ</w:t>
      </w:r>
      <w:r w:rsidR="00332B9A" w:rsidRPr="00E87CD9">
        <w:rPr>
          <w:rFonts w:eastAsia="Calibri"/>
          <w:iCs/>
          <w:color w:val="auto"/>
          <w:sz w:val="28"/>
          <w:szCs w:val="28"/>
        </w:rPr>
        <w:t>), критерій Даннета;</w:t>
      </w:r>
      <w:r w:rsidR="00332B9A" w:rsidRPr="00E87CD9">
        <w:rPr>
          <w:rFonts w:eastAsia="Calibri"/>
          <w:bCs/>
          <w:iCs/>
          <w:color w:val="auto"/>
          <w:sz w:val="28"/>
          <w:szCs w:val="28"/>
        </w:rPr>
        <w:t xml:space="preserve"># - </w:t>
      </w:r>
      <w:r w:rsidR="00332B9A" w:rsidRPr="00E87CD9">
        <w:rPr>
          <w:rFonts w:eastAsia="Calibri"/>
          <w:iCs/>
          <w:color w:val="auto"/>
          <w:sz w:val="28"/>
          <w:szCs w:val="28"/>
        </w:rPr>
        <w:t xml:space="preserve">р&lt;0,05 по відношенню до показників груп VII, VIII та інтактних тварин, </w:t>
      </w:r>
      <w:r w:rsidR="00332B9A" w:rsidRPr="00E87CD9">
        <w:rPr>
          <w:rFonts w:eastAsia="Calibri"/>
          <w:bCs/>
          <w:iCs/>
          <w:color w:val="auto"/>
          <w:sz w:val="28"/>
          <w:szCs w:val="28"/>
        </w:rPr>
        <w:t>критерій Дункана.</w:t>
      </w:r>
    </w:p>
    <w:p w:rsidR="003E5F1B" w:rsidRPr="00E87CD9" w:rsidRDefault="003E5F1B" w:rsidP="00417DC7">
      <w:pPr>
        <w:ind w:firstLine="709"/>
        <w:jc w:val="both"/>
        <w:rPr>
          <w:rFonts w:eastAsia="Calibri"/>
          <w:iCs/>
          <w:color w:val="auto"/>
          <w:sz w:val="28"/>
          <w:szCs w:val="28"/>
        </w:rPr>
      </w:pPr>
    </w:p>
    <w:p w:rsidR="00417DC7" w:rsidRPr="00E87CD9" w:rsidRDefault="00E04975" w:rsidP="00417DC7">
      <w:pPr>
        <w:ind w:firstLine="709"/>
        <w:jc w:val="both"/>
        <w:rPr>
          <w:color w:val="auto"/>
          <w:sz w:val="28"/>
          <w:szCs w:val="28"/>
        </w:rPr>
      </w:pPr>
      <w:r w:rsidRPr="00E87CD9">
        <w:rPr>
          <w:rFonts w:eastAsia="Calibri"/>
          <w:iCs/>
          <w:color w:val="auto"/>
          <w:sz w:val="28"/>
          <w:szCs w:val="28"/>
        </w:rPr>
        <w:t>На тлі коморбідної патології п</w:t>
      </w:r>
      <w:r w:rsidR="00417DC7" w:rsidRPr="00E87CD9">
        <w:rPr>
          <w:rFonts w:eastAsia="Calibri"/>
          <w:iCs/>
          <w:color w:val="auto"/>
          <w:sz w:val="28"/>
          <w:szCs w:val="28"/>
        </w:rPr>
        <w:t xml:space="preserve">арацетамол </w:t>
      </w:r>
      <w:r w:rsidRPr="00E87CD9">
        <w:rPr>
          <w:rFonts w:eastAsia="Calibri"/>
          <w:iCs/>
          <w:color w:val="auto"/>
          <w:sz w:val="28"/>
          <w:szCs w:val="28"/>
        </w:rPr>
        <w:t>проявляв нижчуу 1,94 рази</w:t>
      </w:r>
      <w:r w:rsidRPr="00E87CD9">
        <w:rPr>
          <w:rFonts w:eastAsia="Calibri"/>
          <w:color w:val="auto"/>
          <w:sz w:val="28"/>
          <w:szCs w:val="28"/>
        </w:rPr>
        <w:t xml:space="preserve"> (р&lt;0,0</w:t>
      </w:r>
      <w:r w:rsidR="008B40DB" w:rsidRPr="00E87CD9">
        <w:rPr>
          <w:rFonts w:eastAsia="Calibri"/>
          <w:color w:val="auto"/>
          <w:sz w:val="28"/>
          <w:szCs w:val="28"/>
        </w:rPr>
        <w:t>5</w:t>
      </w:r>
      <w:r w:rsidRPr="00E87CD9">
        <w:rPr>
          <w:rFonts w:eastAsia="Calibri"/>
          <w:iCs/>
          <w:color w:val="auto"/>
          <w:sz w:val="28"/>
          <w:szCs w:val="28"/>
        </w:rPr>
        <w:t xml:space="preserve">) </w:t>
      </w:r>
      <w:r w:rsidR="00417DC7" w:rsidRPr="00E87CD9">
        <w:rPr>
          <w:rFonts w:eastAsia="Calibri"/>
          <w:iCs/>
          <w:color w:val="auto"/>
          <w:sz w:val="28"/>
          <w:szCs w:val="28"/>
        </w:rPr>
        <w:t>антиноцицептивн</w:t>
      </w:r>
      <w:r w:rsidRPr="00E87CD9">
        <w:rPr>
          <w:rFonts w:eastAsia="Calibri"/>
          <w:iCs/>
          <w:color w:val="auto"/>
          <w:sz w:val="28"/>
          <w:szCs w:val="28"/>
        </w:rPr>
        <w:t>у</w:t>
      </w:r>
      <w:r w:rsidR="00417DC7" w:rsidRPr="00E87CD9">
        <w:rPr>
          <w:rFonts w:eastAsia="Calibri"/>
          <w:iCs/>
          <w:color w:val="auto"/>
          <w:sz w:val="28"/>
          <w:szCs w:val="28"/>
        </w:rPr>
        <w:t xml:space="preserve"> активні</w:t>
      </w:r>
      <w:r w:rsidRPr="00E87CD9">
        <w:rPr>
          <w:rFonts w:eastAsia="Calibri"/>
          <w:iCs/>
          <w:color w:val="auto"/>
          <w:sz w:val="28"/>
          <w:szCs w:val="28"/>
        </w:rPr>
        <w:t>сть, з</w:t>
      </w:r>
      <w:r w:rsidR="00417DC7" w:rsidRPr="00E87CD9">
        <w:rPr>
          <w:rFonts w:eastAsia="Calibri"/>
          <w:iCs/>
          <w:color w:val="auto"/>
          <w:sz w:val="28"/>
          <w:szCs w:val="28"/>
        </w:rPr>
        <w:t xml:space="preserve">неболювальний ефект целекоксибу знижувався у 1,42 рази </w:t>
      </w:r>
      <w:r w:rsidR="00680741" w:rsidRPr="00E87CD9">
        <w:rPr>
          <w:rFonts w:eastAsia="Calibri"/>
          <w:color w:val="auto"/>
          <w:sz w:val="28"/>
          <w:szCs w:val="28"/>
        </w:rPr>
        <w:t>(р</w:t>
      </w:r>
      <w:r w:rsidR="00680741" w:rsidRPr="00E87CD9">
        <w:rPr>
          <w:rFonts w:eastAsia="Calibri"/>
          <w:iCs/>
          <w:color w:val="auto"/>
          <w:sz w:val="28"/>
          <w:szCs w:val="28"/>
        </w:rPr>
        <w:t>&lt;</w:t>
      </w:r>
      <w:r w:rsidR="00680741" w:rsidRPr="00E87CD9">
        <w:rPr>
          <w:rFonts w:eastAsia="Calibri"/>
          <w:color w:val="auto"/>
          <w:sz w:val="28"/>
          <w:szCs w:val="28"/>
        </w:rPr>
        <w:t>0,0</w:t>
      </w:r>
      <w:r w:rsidR="00724312" w:rsidRPr="00E87CD9">
        <w:rPr>
          <w:rFonts w:eastAsia="Calibri"/>
          <w:color w:val="auto"/>
          <w:sz w:val="28"/>
          <w:szCs w:val="28"/>
        </w:rPr>
        <w:t>5</w:t>
      </w:r>
      <w:r w:rsidR="00680741" w:rsidRPr="00E87CD9">
        <w:rPr>
          <w:rFonts w:eastAsia="Calibri"/>
          <w:color w:val="auto"/>
          <w:sz w:val="28"/>
          <w:szCs w:val="28"/>
        </w:rPr>
        <w:t>)</w:t>
      </w:r>
      <w:r w:rsidR="00417DC7" w:rsidRPr="00E87CD9">
        <w:rPr>
          <w:rFonts w:eastAsia="Calibri"/>
          <w:iCs/>
          <w:color w:val="auto"/>
          <w:sz w:val="28"/>
          <w:szCs w:val="28"/>
        </w:rPr>
        <w:t xml:space="preserve">, німесуліду та мелоксикаму </w:t>
      </w:r>
      <w:r w:rsidR="001B7D0E" w:rsidRPr="00E87CD9">
        <w:rPr>
          <w:rFonts w:eastAsia="Calibri"/>
          <w:iCs/>
          <w:color w:val="auto"/>
          <w:sz w:val="28"/>
          <w:szCs w:val="28"/>
        </w:rPr>
        <w:t xml:space="preserve">– </w:t>
      </w:r>
      <w:r w:rsidR="00417DC7" w:rsidRPr="00E87CD9">
        <w:rPr>
          <w:rFonts w:eastAsia="Calibri"/>
          <w:iCs/>
          <w:color w:val="auto"/>
          <w:sz w:val="28"/>
          <w:szCs w:val="28"/>
        </w:rPr>
        <w:t>у 1,</w:t>
      </w:r>
      <w:r w:rsidR="003C2749" w:rsidRPr="00E87CD9">
        <w:rPr>
          <w:rFonts w:eastAsia="Calibri"/>
          <w:iCs/>
          <w:color w:val="auto"/>
          <w:sz w:val="28"/>
          <w:szCs w:val="28"/>
        </w:rPr>
        <w:t>5</w:t>
      </w:r>
      <w:r w:rsidR="00417DC7" w:rsidRPr="00E87CD9">
        <w:rPr>
          <w:rFonts w:eastAsia="Calibri"/>
          <w:iCs/>
          <w:color w:val="auto"/>
          <w:sz w:val="28"/>
          <w:szCs w:val="28"/>
        </w:rPr>
        <w:t xml:space="preserve"> рази </w:t>
      </w:r>
      <w:r w:rsidR="00680741" w:rsidRPr="00E87CD9">
        <w:rPr>
          <w:rFonts w:eastAsia="Calibri"/>
          <w:color w:val="auto"/>
          <w:sz w:val="28"/>
          <w:szCs w:val="28"/>
        </w:rPr>
        <w:t>(р</w:t>
      </w:r>
      <w:r w:rsidR="00680741" w:rsidRPr="00E87CD9">
        <w:rPr>
          <w:rFonts w:eastAsia="Calibri"/>
          <w:iCs/>
          <w:color w:val="auto"/>
          <w:sz w:val="28"/>
          <w:szCs w:val="28"/>
        </w:rPr>
        <w:t>&lt;</w:t>
      </w:r>
      <w:r w:rsidR="00680741" w:rsidRPr="00E87CD9">
        <w:rPr>
          <w:rFonts w:eastAsia="Calibri"/>
          <w:color w:val="auto"/>
          <w:sz w:val="28"/>
          <w:szCs w:val="28"/>
        </w:rPr>
        <w:t>0,0</w:t>
      </w:r>
      <w:r w:rsidR="00724312" w:rsidRPr="00E87CD9">
        <w:rPr>
          <w:rFonts w:eastAsia="Calibri"/>
          <w:color w:val="auto"/>
          <w:sz w:val="28"/>
          <w:szCs w:val="28"/>
        </w:rPr>
        <w:t>5</w:t>
      </w:r>
      <w:r w:rsidR="00680741" w:rsidRPr="00E87CD9">
        <w:rPr>
          <w:rFonts w:eastAsia="Calibri"/>
          <w:color w:val="auto"/>
          <w:sz w:val="28"/>
          <w:szCs w:val="28"/>
        </w:rPr>
        <w:t>)</w:t>
      </w:r>
      <w:r w:rsidR="00417DC7" w:rsidRPr="00E87CD9">
        <w:rPr>
          <w:rFonts w:eastAsia="Calibri"/>
          <w:iCs/>
          <w:color w:val="auto"/>
          <w:sz w:val="28"/>
          <w:szCs w:val="28"/>
        </w:rPr>
        <w:t xml:space="preserve">. </w:t>
      </w:r>
      <w:r w:rsidRPr="00E87CD9">
        <w:rPr>
          <w:rFonts w:eastAsia="Calibri"/>
          <w:iCs/>
          <w:color w:val="auto"/>
          <w:sz w:val="28"/>
          <w:szCs w:val="28"/>
        </w:rPr>
        <w:t xml:space="preserve">Якщо на </w:t>
      </w:r>
      <w:r w:rsidR="00724312" w:rsidRPr="00E87CD9">
        <w:rPr>
          <w:rFonts w:eastAsia="Calibri"/>
          <w:iCs/>
          <w:color w:val="auto"/>
          <w:sz w:val="28"/>
          <w:szCs w:val="28"/>
        </w:rPr>
        <w:t>тлі</w:t>
      </w:r>
      <w:r w:rsidRPr="00E87CD9">
        <w:rPr>
          <w:rFonts w:eastAsia="Calibri"/>
          <w:iCs/>
          <w:color w:val="auto"/>
          <w:sz w:val="28"/>
          <w:szCs w:val="28"/>
        </w:rPr>
        <w:t xml:space="preserve"> ОА знеболювальна дія німесуліду перевищувала на 43% дію ібупрофену, то за коморбідної патології аналгетична ефективність обох препаратів суттєво знижувалася і за цим показником німесулід та ібупрофен були </w:t>
      </w:r>
      <w:r w:rsidR="009B3350" w:rsidRPr="00E87CD9">
        <w:rPr>
          <w:rFonts w:eastAsia="Calibri"/>
          <w:iCs/>
          <w:color w:val="auto"/>
          <w:sz w:val="28"/>
          <w:szCs w:val="28"/>
        </w:rPr>
        <w:t xml:space="preserve">практично </w:t>
      </w:r>
      <w:r w:rsidRPr="00E87CD9">
        <w:rPr>
          <w:rFonts w:eastAsia="Calibri"/>
          <w:iCs/>
          <w:color w:val="auto"/>
          <w:sz w:val="28"/>
          <w:szCs w:val="28"/>
        </w:rPr>
        <w:t xml:space="preserve">рівноефективними. </w:t>
      </w:r>
      <w:r w:rsidR="00417DC7" w:rsidRPr="00E87CD9">
        <w:rPr>
          <w:color w:val="auto"/>
          <w:sz w:val="28"/>
          <w:szCs w:val="28"/>
        </w:rPr>
        <w:t xml:space="preserve">На відміну від </w:t>
      </w:r>
      <w:r w:rsidRPr="00E87CD9">
        <w:rPr>
          <w:color w:val="auto"/>
          <w:sz w:val="28"/>
          <w:szCs w:val="28"/>
        </w:rPr>
        <w:t>зазначених</w:t>
      </w:r>
      <w:r w:rsidR="00417DC7" w:rsidRPr="00E87CD9">
        <w:rPr>
          <w:color w:val="auto"/>
          <w:sz w:val="28"/>
          <w:szCs w:val="28"/>
        </w:rPr>
        <w:t xml:space="preserve"> препаратів</w:t>
      </w:r>
      <w:r w:rsidRPr="00E87CD9">
        <w:rPr>
          <w:color w:val="auto"/>
          <w:sz w:val="28"/>
          <w:szCs w:val="28"/>
        </w:rPr>
        <w:t xml:space="preserve">,лише </w:t>
      </w:r>
      <w:r w:rsidR="00417DC7" w:rsidRPr="00E87CD9">
        <w:rPr>
          <w:color w:val="auto"/>
          <w:sz w:val="28"/>
          <w:szCs w:val="28"/>
        </w:rPr>
        <w:lastRenderedPageBreak/>
        <w:t xml:space="preserve">диклофенак натрію </w:t>
      </w:r>
      <w:r w:rsidRPr="00E87CD9">
        <w:rPr>
          <w:color w:val="auto"/>
          <w:sz w:val="28"/>
          <w:szCs w:val="28"/>
        </w:rPr>
        <w:t xml:space="preserve">на тлі асоційованого стану </w:t>
      </w:r>
      <w:r w:rsidR="00417DC7" w:rsidRPr="00E87CD9">
        <w:rPr>
          <w:color w:val="auto"/>
          <w:sz w:val="28"/>
          <w:szCs w:val="28"/>
        </w:rPr>
        <w:t xml:space="preserve">достовірно </w:t>
      </w:r>
      <w:r w:rsidRPr="00E87CD9">
        <w:rPr>
          <w:color w:val="auto"/>
          <w:sz w:val="28"/>
          <w:szCs w:val="28"/>
        </w:rPr>
        <w:t>зберігав свої антиноцицептивні властивості, фактично, на рівні знеболювальної активності за застосування на тлі лише ОА</w:t>
      </w:r>
      <w:r w:rsidR="00417DC7" w:rsidRPr="00E87CD9">
        <w:rPr>
          <w:color w:val="auto"/>
          <w:sz w:val="28"/>
          <w:szCs w:val="28"/>
        </w:rPr>
        <w:t>.</w:t>
      </w:r>
    </w:p>
    <w:p w:rsidR="00364504" w:rsidRPr="00E87CD9" w:rsidRDefault="00417DC7" w:rsidP="00417DC7">
      <w:pPr>
        <w:ind w:firstLine="709"/>
        <w:jc w:val="both"/>
        <w:rPr>
          <w:rFonts w:eastAsia="Calibri"/>
          <w:iCs/>
          <w:color w:val="auto"/>
          <w:sz w:val="28"/>
          <w:szCs w:val="28"/>
        </w:rPr>
      </w:pPr>
      <w:r w:rsidRPr="00E87CD9">
        <w:rPr>
          <w:rFonts w:eastAsia="Calibri"/>
          <w:iCs/>
          <w:color w:val="auto"/>
          <w:sz w:val="28"/>
          <w:szCs w:val="28"/>
        </w:rPr>
        <w:t>Знеболю</w:t>
      </w:r>
      <w:r w:rsidR="00E04975" w:rsidRPr="00E87CD9">
        <w:rPr>
          <w:rFonts w:eastAsia="Calibri"/>
          <w:iCs/>
          <w:color w:val="auto"/>
          <w:sz w:val="28"/>
          <w:szCs w:val="28"/>
        </w:rPr>
        <w:t>вальний</w:t>
      </w:r>
      <w:r w:rsidRPr="00E87CD9">
        <w:rPr>
          <w:rFonts w:eastAsia="Calibri"/>
          <w:iCs/>
          <w:color w:val="auto"/>
          <w:sz w:val="28"/>
          <w:szCs w:val="28"/>
        </w:rPr>
        <w:t xml:space="preserve"> ефект ЛЗ </w:t>
      </w:r>
      <w:r w:rsidR="00E04975" w:rsidRPr="00E87CD9">
        <w:rPr>
          <w:rFonts w:eastAsia="Calibri"/>
          <w:iCs/>
          <w:color w:val="auto"/>
          <w:sz w:val="28"/>
          <w:szCs w:val="28"/>
        </w:rPr>
        <w:t>на тлі коморбідної патології та за</w:t>
      </w:r>
      <w:r w:rsidRPr="00E87CD9">
        <w:rPr>
          <w:rFonts w:eastAsia="Calibri"/>
          <w:iCs/>
          <w:color w:val="auto"/>
          <w:sz w:val="28"/>
          <w:szCs w:val="28"/>
        </w:rPr>
        <w:t xml:space="preserve"> призначен</w:t>
      </w:r>
      <w:r w:rsidR="00E04975" w:rsidRPr="00E87CD9">
        <w:rPr>
          <w:rFonts w:eastAsia="Calibri"/>
          <w:iCs/>
          <w:color w:val="auto"/>
          <w:sz w:val="28"/>
          <w:szCs w:val="28"/>
        </w:rPr>
        <w:t>ня</w:t>
      </w:r>
      <w:r w:rsidRPr="00E87CD9">
        <w:rPr>
          <w:rFonts w:eastAsia="Calibri"/>
          <w:iCs/>
          <w:color w:val="auto"/>
          <w:sz w:val="28"/>
          <w:szCs w:val="28"/>
        </w:rPr>
        <w:t xml:space="preserve"> L-тироксину проявився більш виразно</w:t>
      </w:r>
      <w:r w:rsidR="00F94B58" w:rsidRPr="00E87CD9">
        <w:rPr>
          <w:rFonts w:eastAsia="Calibri"/>
          <w:iCs/>
          <w:color w:val="auto"/>
          <w:sz w:val="28"/>
          <w:szCs w:val="28"/>
        </w:rPr>
        <w:t xml:space="preserve"> (рис. 3)</w:t>
      </w:r>
      <w:r w:rsidRPr="00E87CD9">
        <w:rPr>
          <w:rFonts w:eastAsia="Calibri"/>
          <w:iCs/>
          <w:color w:val="auto"/>
          <w:sz w:val="28"/>
          <w:szCs w:val="28"/>
        </w:rPr>
        <w:t>. Так, за аналгетичною активністю на фоні ОА+</w:t>
      </w:r>
      <w:r w:rsidR="003E5F1B" w:rsidRPr="00E87CD9">
        <w:rPr>
          <w:rFonts w:eastAsia="Calibri"/>
          <w:iCs/>
          <w:color w:val="auto"/>
          <w:sz w:val="28"/>
          <w:szCs w:val="28"/>
        </w:rPr>
        <w:t>ГІТ</w:t>
      </w:r>
      <w:r w:rsidRPr="00E87CD9">
        <w:rPr>
          <w:rFonts w:eastAsia="Calibri"/>
          <w:iCs/>
          <w:color w:val="auto"/>
          <w:sz w:val="28"/>
          <w:szCs w:val="28"/>
        </w:rPr>
        <w:t xml:space="preserve">+L-тироксин </w:t>
      </w:r>
      <w:r w:rsidRPr="00E87CD9">
        <w:rPr>
          <w:color w:val="auto"/>
          <w:sz w:val="28"/>
          <w:szCs w:val="28"/>
          <w:lang w:eastAsia="ru-RU"/>
        </w:rPr>
        <w:t>ЛЗ розташувались наступним чином:</w:t>
      </w:r>
      <w:r w:rsidR="00C35AB2" w:rsidRPr="00E87CD9">
        <w:rPr>
          <w:rStyle w:val="Default20Paragraph20Font"/>
          <w:rFonts w:eastAsia="Calibri"/>
          <w:iCs/>
          <w:color w:val="auto"/>
          <w:sz w:val="28"/>
          <w:szCs w:val="28"/>
        </w:rPr>
        <w:t xml:space="preserve">диклофенак натрію (+212%)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 xml:space="preserve">0,001) </w:t>
      </w:r>
      <w:r w:rsidR="00C35AB2" w:rsidRPr="00E87CD9">
        <w:rPr>
          <w:rStyle w:val="Default20Paragraph20Font"/>
          <w:rFonts w:eastAsia="Calibri"/>
          <w:iCs/>
          <w:color w:val="auto"/>
          <w:sz w:val="28"/>
          <w:szCs w:val="28"/>
        </w:rPr>
        <w:t xml:space="preserve">≥ ібупрофен (+144%)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 xml:space="preserve">0,001) </w:t>
      </w:r>
      <w:r w:rsidR="00C35AB2" w:rsidRPr="00E87CD9">
        <w:rPr>
          <w:rStyle w:val="Default20Paragraph20Font"/>
          <w:rFonts w:eastAsia="Calibri"/>
          <w:iCs/>
          <w:color w:val="auto"/>
          <w:sz w:val="28"/>
          <w:szCs w:val="28"/>
        </w:rPr>
        <w:t xml:space="preserve">≥ німесулід (+134%)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 xml:space="preserve">0,001) </w:t>
      </w:r>
      <w:r w:rsidR="00C35AB2" w:rsidRPr="00E87CD9">
        <w:rPr>
          <w:rStyle w:val="Default20Paragraph20Font"/>
          <w:rFonts w:eastAsia="Calibri"/>
          <w:iCs/>
          <w:color w:val="auto"/>
          <w:sz w:val="28"/>
          <w:szCs w:val="28"/>
        </w:rPr>
        <w:t xml:space="preserve">≥ парацетамол (+116%)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 xml:space="preserve">0,001) </w:t>
      </w:r>
      <w:r w:rsidR="00C35AB2" w:rsidRPr="00E87CD9">
        <w:rPr>
          <w:rStyle w:val="Default20Paragraph20Font"/>
          <w:rFonts w:eastAsia="Calibri"/>
          <w:iCs/>
          <w:color w:val="auto"/>
          <w:sz w:val="28"/>
          <w:szCs w:val="28"/>
        </w:rPr>
        <w:t xml:space="preserve">≥ мелоксикам (+104%)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 xml:space="preserve">0,001) </w:t>
      </w:r>
      <w:r w:rsidR="00C35AB2" w:rsidRPr="00E87CD9">
        <w:rPr>
          <w:rStyle w:val="Default20Paragraph20Font"/>
          <w:rFonts w:eastAsia="Calibri"/>
          <w:iCs/>
          <w:color w:val="auto"/>
          <w:sz w:val="28"/>
          <w:szCs w:val="28"/>
        </w:rPr>
        <w:t xml:space="preserve">≥ целекоксиб (+93%)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0,001)</w:t>
      </w:r>
      <w:r w:rsidR="00F37AFA" w:rsidRPr="00E87CD9">
        <w:rPr>
          <w:rStyle w:val="Default20Paragraph20Font"/>
          <w:rFonts w:eastAsia="Calibri"/>
          <w:iCs/>
          <w:color w:val="auto"/>
          <w:sz w:val="28"/>
          <w:szCs w:val="28"/>
        </w:rPr>
        <w:t xml:space="preserve">. Даний результат є свідченням потенціювання знеболювального впливу зазначених НПЗЗ </w:t>
      </w:r>
      <w:r w:rsidR="00F37AFA" w:rsidRPr="00E87CD9">
        <w:rPr>
          <w:rStyle w:val="Default20Paragraph20Font"/>
          <w:rFonts w:eastAsia="Calibri"/>
          <w:bCs/>
          <w:iCs/>
          <w:color w:val="auto"/>
          <w:sz w:val="28"/>
          <w:szCs w:val="28"/>
        </w:rPr>
        <w:t xml:space="preserve">L-тироксином на тлі ОА, коморбідного з ГІТ, </w:t>
      </w:r>
      <w:r w:rsidR="00EE5FD2" w:rsidRPr="00E87CD9">
        <w:rPr>
          <w:rStyle w:val="Default20Paragraph20Font"/>
          <w:rFonts w:eastAsia="Calibri"/>
          <w:bCs/>
          <w:iCs/>
          <w:color w:val="auto"/>
          <w:sz w:val="28"/>
          <w:szCs w:val="28"/>
        </w:rPr>
        <w:t>і</w:t>
      </w:r>
      <w:r w:rsidRPr="00E87CD9">
        <w:rPr>
          <w:rStyle w:val="Default20Paragraph20Font"/>
          <w:rFonts w:eastAsia="Calibri"/>
          <w:iCs/>
          <w:color w:val="auto"/>
          <w:sz w:val="28"/>
          <w:szCs w:val="28"/>
        </w:rPr>
        <w:t xml:space="preserve"> відображає най</w:t>
      </w:r>
      <w:r w:rsidR="00EE5FD2" w:rsidRPr="00E87CD9">
        <w:rPr>
          <w:rStyle w:val="Default20Paragraph20Font"/>
          <w:rFonts w:eastAsia="Calibri"/>
          <w:iCs/>
          <w:color w:val="auto"/>
          <w:sz w:val="28"/>
          <w:szCs w:val="28"/>
        </w:rPr>
        <w:t>суттєві</w:t>
      </w:r>
      <w:r w:rsidRPr="00E87CD9">
        <w:rPr>
          <w:rStyle w:val="Default20Paragraph20Font"/>
          <w:rFonts w:eastAsia="Calibri"/>
          <w:iCs/>
          <w:color w:val="auto"/>
          <w:sz w:val="28"/>
          <w:szCs w:val="28"/>
        </w:rPr>
        <w:t xml:space="preserve">ший </w:t>
      </w:r>
      <w:r w:rsidR="00EE5FD2" w:rsidRPr="00E87CD9">
        <w:rPr>
          <w:rStyle w:val="Default20Paragraph20Font"/>
          <w:rFonts w:eastAsia="Calibri"/>
          <w:iCs/>
          <w:color w:val="auto"/>
          <w:sz w:val="28"/>
          <w:szCs w:val="28"/>
        </w:rPr>
        <w:t>знеболювальний ефект</w:t>
      </w:r>
      <w:r w:rsidRPr="00E87CD9">
        <w:rPr>
          <w:rStyle w:val="Default20Paragraph20Font"/>
          <w:rFonts w:eastAsia="Calibri"/>
          <w:iCs/>
          <w:color w:val="auto"/>
          <w:sz w:val="28"/>
          <w:szCs w:val="28"/>
        </w:rPr>
        <w:t xml:space="preserve"> диклофенаку натрію.</w:t>
      </w:r>
      <w:r w:rsidR="00EE5FD2" w:rsidRPr="00E87CD9">
        <w:rPr>
          <w:rStyle w:val="Default20Paragraph20Font"/>
          <w:rFonts w:eastAsia="Calibri"/>
          <w:iCs/>
          <w:color w:val="auto"/>
          <w:sz w:val="28"/>
          <w:szCs w:val="28"/>
        </w:rPr>
        <w:t xml:space="preserve"> Фактично, </w:t>
      </w:r>
      <w:r w:rsidR="00EE5FD2" w:rsidRPr="00E87CD9">
        <w:rPr>
          <w:rStyle w:val="Default20Paragraph20Font"/>
          <w:rFonts w:eastAsia="Calibri"/>
          <w:bCs/>
          <w:iCs/>
          <w:color w:val="auto"/>
          <w:sz w:val="28"/>
          <w:szCs w:val="28"/>
        </w:rPr>
        <w:t>L-тироксин</w:t>
      </w:r>
      <w:r w:rsidR="00EE5FD2" w:rsidRPr="00E87CD9">
        <w:rPr>
          <w:rFonts w:eastAsia="Calibri"/>
          <w:color w:val="auto"/>
          <w:sz w:val="28"/>
          <w:szCs w:val="28"/>
        </w:rPr>
        <w:t>за комбінованого застосування з диклофенаком натрію призводить до зростання аналгетичної активності останнь</w:t>
      </w:r>
      <w:r w:rsidR="00364504" w:rsidRPr="00E87CD9">
        <w:rPr>
          <w:rFonts w:eastAsia="Calibri"/>
          <w:color w:val="auto"/>
          <w:sz w:val="28"/>
          <w:szCs w:val="28"/>
        </w:rPr>
        <w:t>ого на 48% (</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0,001</w:t>
      </w:r>
      <w:r w:rsidR="00364504" w:rsidRPr="00E87CD9">
        <w:rPr>
          <w:rFonts w:eastAsia="Calibri"/>
          <w:color w:val="auto"/>
          <w:sz w:val="28"/>
          <w:szCs w:val="28"/>
        </w:rPr>
        <w:t>)</w:t>
      </w:r>
      <w:r w:rsidR="00EE5FD2" w:rsidRPr="00E87CD9">
        <w:rPr>
          <w:rFonts w:eastAsia="Calibri"/>
          <w:color w:val="auto"/>
          <w:sz w:val="28"/>
          <w:szCs w:val="28"/>
        </w:rPr>
        <w:t>.</w:t>
      </w:r>
      <w:r w:rsidR="00364504" w:rsidRPr="00E87CD9">
        <w:rPr>
          <w:rFonts w:eastAsia="Calibri"/>
          <w:color w:val="auto"/>
          <w:sz w:val="28"/>
          <w:szCs w:val="28"/>
        </w:rPr>
        <w:t xml:space="preserve">Знеболювальна активність </w:t>
      </w:r>
      <w:r w:rsidR="00364504" w:rsidRPr="00E87CD9">
        <w:rPr>
          <w:rFonts w:eastAsia="Calibri"/>
          <w:iCs/>
          <w:color w:val="auto"/>
          <w:sz w:val="28"/>
          <w:szCs w:val="28"/>
        </w:rPr>
        <w:t>п</w:t>
      </w:r>
      <w:r w:rsidRPr="00E87CD9">
        <w:rPr>
          <w:rFonts w:eastAsia="Calibri"/>
          <w:iCs/>
          <w:color w:val="auto"/>
          <w:sz w:val="28"/>
          <w:szCs w:val="28"/>
        </w:rPr>
        <w:t>арацетамол</w:t>
      </w:r>
      <w:r w:rsidR="00364504" w:rsidRPr="00E87CD9">
        <w:rPr>
          <w:rFonts w:eastAsia="Calibri"/>
          <w:iCs/>
          <w:color w:val="auto"/>
          <w:sz w:val="28"/>
          <w:szCs w:val="28"/>
        </w:rPr>
        <w:t>у</w:t>
      </w:r>
      <w:r w:rsidRPr="00E87CD9">
        <w:rPr>
          <w:rFonts w:eastAsia="Calibri"/>
          <w:iCs/>
          <w:color w:val="auto"/>
          <w:sz w:val="28"/>
          <w:szCs w:val="28"/>
        </w:rPr>
        <w:t xml:space="preserve"> на фоні призначення L-тироксину </w:t>
      </w:r>
      <w:r w:rsidR="00364504" w:rsidRPr="00E87CD9">
        <w:rPr>
          <w:rFonts w:eastAsia="Calibri"/>
          <w:iCs/>
          <w:color w:val="auto"/>
          <w:sz w:val="28"/>
          <w:szCs w:val="28"/>
        </w:rPr>
        <w:t>зросла</w:t>
      </w:r>
      <w:r w:rsidRPr="00E87CD9">
        <w:rPr>
          <w:rFonts w:eastAsia="Calibri"/>
          <w:iCs/>
          <w:color w:val="auto"/>
          <w:sz w:val="28"/>
          <w:szCs w:val="28"/>
        </w:rPr>
        <w:t xml:space="preserve"> у 1,8 рази </w:t>
      </w:r>
      <w:r w:rsidRPr="00E87CD9">
        <w:rPr>
          <w:rFonts w:eastAsia="Calibri"/>
          <w:color w:val="auto"/>
          <w:sz w:val="28"/>
          <w:szCs w:val="28"/>
        </w:rPr>
        <w:t>(</w:t>
      </w:r>
      <w:r w:rsidR="00C35AB2" w:rsidRPr="00E87CD9">
        <w:rPr>
          <w:rFonts w:eastAsia="Calibri"/>
          <w:color w:val="auto"/>
          <w:sz w:val="28"/>
          <w:szCs w:val="28"/>
        </w:rPr>
        <w:t>р</w:t>
      </w:r>
      <w:r w:rsidR="00C35AB2" w:rsidRPr="00E87CD9">
        <w:rPr>
          <w:rFonts w:eastAsia="Calibri"/>
          <w:iCs/>
          <w:color w:val="auto"/>
          <w:sz w:val="28"/>
          <w:szCs w:val="28"/>
        </w:rPr>
        <w:t>&lt;</w:t>
      </w:r>
      <w:r w:rsidR="00C35AB2" w:rsidRPr="00E87CD9">
        <w:rPr>
          <w:rFonts w:eastAsia="Calibri"/>
          <w:color w:val="auto"/>
          <w:sz w:val="28"/>
          <w:szCs w:val="28"/>
        </w:rPr>
        <w:t>0,001</w:t>
      </w:r>
      <w:r w:rsidRPr="00E87CD9">
        <w:rPr>
          <w:rFonts w:eastAsia="Calibri"/>
          <w:color w:val="auto"/>
          <w:sz w:val="28"/>
          <w:szCs w:val="28"/>
        </w:rPr>
        <w:t>)</w:t>
      </w:r>
      <w:r w:rsidRPr="00E87CD9">
        <w:rPr>
          <w:rFonts w:eastAsia="Calibri"/>
          <w:iCs/>
          <w:color w:val="auto"/>
          <w:sz w:val="28"/>
          <w:szCs w:val="28"/>
        </w:rPr>
        <w:t xml:space="preserve">, </w:t>
      </w:r>
      <w:r w:rsidR="00364504" w:rsidRPr="00E87CD9">
        <w:rPr>
          <w:rFonts w:eastAsia="Calibri"/>
          <w:iCs/>
          <w:color w:val="auto"/>
          <w:sz w:val="28"/>
          <w:szCs w:val="28"/>
        </w:rPr>
        <w:t>порівняно до даних за самостійного призначення антипіретика лишена тлі ОА</w:t>
      </w:r>
      <w:r w:rsidRPr="00E87CD9">
        <w:rPr>
          <w:rFonts w:eastAsia="Calibri"/>
          <w:iCs/>
          <w:color w:val="auto"/>
          <w:sz w:val="28"/>
          <w:szCs w:val="28"/>
        </w:rPr>
        <w:t>.</w:t>
      </w:r>
    </w:p>
    <w:p w:rsidR="00535936" w:rsidRPr="00E87CD9" w:rsidRDefault="00535936" w:rsidP="00F82E83">
      <w:pPr>
        <w:jc w:val="center"/>
        <w:rPr>
          <w:rFonts w:eastAsia="Calibri"/>
          <w:iCs/>
          <w:color w:val="auto"/>
          <w:sz w:val="28"/>
          <w:szCs w:val="28"/>
        </w:rPr>
      </w:pPr>
      <w:r w:rsidRPr="00E87CD9">
        <w:rPr>
          <w:rFonts w:ascii="Calibri" w:eastAsia="Calibri" w:hAnsi="Calibri"/>
          <w:noProof/>
          <w:color w:val="auto"/>
          <w:lang w:val="ru-RU" w:eastAsia="ru-RU"/>
        </w:rPr>
        <w:drawing>
          <wp:inline distT="0" distB="0" distL="0" distR="0">
            <wp:extent cx="5511800" cy="21844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068F" w:rsidRPr="00E87CD9" w:rsidRDefault="0093068F" w:rsidP="00417DC7">
      <w:pPr>
        <w:ind w:firstLine="709"/>
        <w:jc w:val="both"/>
        <w:rPr>
          <w:rFonts w:eastAsia="Calibri"/>
          <w:iCs/>
          <w:color w:val="auto"/>
          <w:sz w:val="28"/>
          <w:szCs w:val="28"/>
        </w:rPr>
      </w:pPr>
    </w:p>
    <w:p w:rsidR="003E5F1B" w:rsidRPr="00E87CD9" w:rsidRDefault="00F94B58" w:rsidP="009B3350">
      <w:pPr>
        <w:ind w:firstLine="709"/>
        <w:jc w:val="both"/>
        <w:rPr>
          <w:bCs/>
          <w:color w:val="auto"/>
          <w:sz w:val="28"/>
          <w:szCs w:val="28"/>
        </w:rPr>
      </w:pPr>
      <w:r w:rsidRPr="00E87CD9">
        <w:rPr>
          <w:rStyle w:val="Default20Paragraph20Font"/>
          <w:rFonts w:eastAsia="Calibri"/>
          <w:iCs/>
          <w:color w:val="auto"/>
          <w:sz w:val="28"/>
          <w:szCs w:val="28"/>
        </w:rPr>
        <w:t xml:space="preserve">Рис. 3. </w:t>
      </w:r>
      <w:r w:rsidR="00003983" w:rsidRPr="00E87CD9">
        <w:rPr>
          <w:bCs/>
          <w:color w:val="auto"/>
          <w:sz w:val="28"/>
          <w:szCs w:val="28"/>
        </w:rPr>
        <w:t>Зміни</w:t>
      </w:r>
      <w:r w:rsidRPr="00E87CD9">
        <w:rPr>
          <w:bCs/>
          <w:color w:val="auto"/>
          <w:sz w:val="28"/>
          <w:szCs w:val="28"/>
        </w:rPr>
        <w:t xml:space="preserve"> антиноцицептивного потенціалу НПЗЗ та парацетамолу за умов експериментального остеоартрозу і гіпотиреозу відносно групи активного контролю (90 хвилина).</w:t>
      </w:r>
    </w:p>
    <w:p w:rsidR="009B3350" w:rsidRPr="00E87CD9" w:rsidRDefault="00F94B58" w:rsidP="009B3350">
      <w:pPr>
        <w:ind w:firstLine="709"/>
        <w:jc w:val="both"/>
        <w:rPr>
          <w:color w:val="auto"/>
        </w:rPr>
      </w:pPr>
      <w:r w:rsidRPr="00E87CD9">
        <w:rPr>
          <w:rFonts w:eastAsia="Calibri"/>
          <w:bCs/>
          <w:iCs/>
          <w:color w:val="auto"/>
          <w:sz w:val="28"/>
          <w:szCs w:val="28"/>
        </w:rPr>
        <w:t>Примітки:</w:t>
      </w:r>
      <w:r w:rsidR="009B3350" w:rsidRPr="00E87CD9">
        <w:rPr>
          <w:rFonts w:eastAsia="Calibri"/>
          <w:iCs/>
          <w:color w:val="auto"/>
          <w:sz w:val="28"/>
          <w:szCs w:val="28"/>
        </w:rPr>
        <w:t>* - р&lt;0,001 по відношенню до показників больового порогу тварин групи активного контролю (</w:t>
      </w:r>
      <w:r w:rsidR="009B3350" w:rsidRPr="00E87CD9">
        <w:rPr>
          <w:color w:val="auto"/>
          <w:sz w:val="28"/>
          <w:szCs w:val="28"/>
        </w:rPr>
        <w:t>ОА+</w:t>
      </w:r>
      <w:r w:rsidR="003E5F1B" w:rsidRPr="00E87CD9">
        <w:rPr>
          <w:color w:val="auto"/>
          <w:sz w:val="28"/>
          <w:szCs w:val="28"/>
        </w:rPr>
        <w:t>ГІТ+</w:t>
      </w:r>
      <w:r w:rsidR="003E5F1B" w:rsidRPr="00E87CD9">
        <w:rPr>
          <w:rFonts w:eastAsia="Calibri"/>
          <w:iCs/>
          <w:color w:val="auto"/>
          <w:sz w:val="28"/>
          <w:szCs w:val="28"/>
        </w:rPr>
        <w:t xml:space="preserve"> L-тироксин</w:t>
      </w:r>
      <w:r w:rsidR="009B3350" w:rsidRPr="00E87CD9">
        <w:rPr>
          <w:rFonts w:eastAsia="Calibri"/>
          <w:iCs/>
          <w:color w:val="auto"/>
          <w:sz w:val="28"/>
          <w:szCs w:val="28"/>
        </w:rPr>
        <w:t>), критерій Даннета;</w:t>
      </w:r>
    </w:p>
    <w:p w:rsidR="009B3350" w:rsidRPr="00E87CD9" w:rsidRDefault="009B3350" w:rsidP="009B3350">
      <w:pPr>
        <w:ind w:firstLine="709"/>
        <w:jc w:val="both"/>
        <w:rPr>
          <w:rFonts w:eastAsia="Calibri"/>
          <w:bCs/>
          <w:iCs/>
          <w:color w:val="auto"/>
          <w:sz w:val="28"/>
          <w:szCs w:val="28"/>
        </w:rPr>
      </w:pPr>
      <w:r w:rsidRPr="00E87CD9">
        <w:rPr>
          <w:rFonts w:eastAsia="Calibri"/>
          <w:bCs/>
          <w:iCs/>
          <w:color w:val="auto"/>
          <w:sz w:val="28"/>
          <w:szCs w:val="28"/>
        </w:rPr>
        <w:t xml:space="preserve"># - </w:t>
      </w:r>
      <w:r w:rsidRPr="00E87CD9">
        <w:rPr>
          <w:rFonts w:eastAsia="Calibri"/>
          <w:iCs/>
          <w:color w:val="auto"/>
          <w:sz w:val="28"/>
          <w:szCs w:val="28"/>
        </w:rPr>
        <w:t xml:space="preserve">р&lt;0,05 по відношенню до показників інших груп, </w:t>
      </w:r>
      <w:r w:rsidRPr="00E87CD9">
        <w:rPr>
          <w:rFonts w:eastAsia="Calibri"/>
          <w:bCs/>
          <w:iCs/>
          <w:color w:val="auto"/>
          <w:sz w:val="28"/>
          <w:szCs w:val="28"/>
        </w:rPr>
        <w:t>критерій Дункана.</w:t>
      </w:r>
    </w:p>
    <w:p w:rsidR="009B3350" w:rsidRPr="00E87CD9" w:rsidRDefault="009B3350" w:rsidP="009B3350">
      <w:pPr>
        <w:ind w:firstLine="709"/>
        <w:jc w:val="both"/>
        <w:rPr>
          <w:rFonts w:eastAsia="Calibri"/>
          <w:bCs/>
          <w:iCs/>
          <w:color w:val="auto"/>
          <w:sz w:val="28"/>
          <w:szCs w:val="28"/>
        </w:rPr>
      </w:pPr>
    </w:p>
    <w:p w:rsidR="00417DC7" w:rsidRPr="00E87CD9" w:rsidRDefault="00417DC7" w:rsidP="00417DC7">
      <w:pPr>
        <w:ind w:firstLine="709"/>
        <w:jc w:val="both"/>
        <w:rPr>
          <w:color w:val="auto"/>
          <w:sz w:val="28"/>
          <w:szCs w:val="28"/>
        </w:rPr>
      </w:pPr>
      <w:r w:rsidRPr="00E87CD9">
        <w:rPr>
          <w:rStyle w:val="Default20Paragraph20Font"/>
          <w:rFonts w:eastAsia="Calibri"/>
          <w:iCs/>
          <w:color w:val="auto"/>
          <w:sz w:val="28"/>
          <w:szCs w:val="28"/>
        </w:rPr>
        <w:t xml:space="preserve">Таким чином, </w:t>
      </w:r>
      <w:r w:rsidR="00364504" w:rsidRPr="00E87CD9">
        <w:rPr>
          <w:rStyle w:val="Default20Paragraph20Font"/>
          <w:rFonts w:eastAsia="Calibri"/>
          <w:iCs/>
          <w:color w:val="auto"/>
          <w:sz w:val="28"/>
          <w:szCs w:val="28"/>
        </w:rPr>
        <w:t xml:space="preserve">за </w:t>
      </w:r>
      <w:r w:rsidRPr="00E87CD9">
        <w:rPr>
          <w:rStyle w:val="Default20Paragraph20Font"/>
          <w:rFonts w:eastAsia="Calibri"/>
          <w:iCs/>
          <w:color w:val="auto"/>
          <w:sz w:val="28"/>
          <w:szCs w:val="28"/>
        </w:rPr>
        <w:t>патологі</w:t>
      </w:r>
      <w:r w:rsidR="00364504" w:rsidRPr="00E87CD9">
        <w:rPr>
          <w:rStyle w:val="Default20Paragraph20Font"/>
          <w:rFonts w:eastAsia="Calibri"/>
          <w:iCs/>
          <w:color w:val="auto"/>
          <w:sz w:val="28"/>
          <w:szCs w:val="28"/>
        </w:rPr>
        <w:t>ї</w:t>
      </w:r>
      <w:r w:rsidRPr="00E87CD9">
        <w:rPr>
          <w:rStyle w:val="Default20Paragraph20Font"/>
          <w:rFonts w:eastAsia="Calibri"/>
          <w:iCs/>
          <w:color w:val="auto"/>
          <w:sz w:val="28"/>
          <w:szCs w:val="28"/>
        </w:rPr>
        <w:t xml:space="preserve"> щитоподібної залози</w:t>
      </w:r>
      <w:r w:rsidR="00E434A5" w:rsidRPr="00E87CD9">
        <w:rPr>
          <w:rStyle w:val="Default20Paragraph20Font"/>
          <w:rFonts w:eastAsia="Calibri"/>
          <w:iCs/>
          <w:color w:val="auto"/>
          <w:sz w:val="28"/>
          <w:szCs w:val="28"/>
        </w:rPr>
        <w:t xml:space="preserve"> (</w:t>
      </w:r>
      <w:r w:rsidRPr="00E87CD9">
        <w:rPr>
          <w:rStyle w:val="Default20Paragraph20Font"/>
          <w:rFonts w:eastAsia="Calibri"/>
          <w:iCs/>
          <w:color w:val="auto"/>
          <w:sz w:val="28"/>
          <w:szCs w:val="28"/>
        </w:rPr>
        <w:t>гіпотиреоз</w:t>
      </w:r>
      <w:r w:rsidR="00E434A5" w:rsidRPr="00E87CD9">
        <w:rPr>
          <w:rStyle w:val="Default20Paragraph20Font"/>
          <w:rFonts w:eastAsia="Calibri"/>
          <w:iCs/>
          <w:color w:val="auto"/>
          <w:sz w:val="28"/>
          <w:szCs w:val="28"/>
        </w:rPr>
        <w:t>)</w:t>
      </w:r>
      <w:r w:rsidRPr="00E87CD9">
        <w:rPr>
          <w:rStyle w:val="Default20Paragraph20Font"/>
          <w:rFonts w:eastAsia="Calibri"/>
          <w:iCs/>
          <w:color w:val="auto"/>
          <w:sz w:val="28"/>
          <w:szCs w:val="28"/>
        </w:rPr>
        <w:t xml:space="preserve"> зміню</w:t>
      </w:r>
      <w:r w:rsidR="00364504" w:rsidRPr="00E87CD9">
        <w:rPr>
          <w:rStyle w:val="Default20Paragraph20Font"/>
          <w:rFonts w:eastAsia="Calibri"/>
          <w:iCs/>
          <w:color w:val="auto"/>
          <w:sz w:val="28"/>
          <w:szCs w:val="28"/>
        </w:rPr>
        <w:t>ються</w:t>
      </w:r>
      <w:r w:rsidRPr="00E87CD9">
        <w:rPr>
          <w:rStyle w:val="Default20Paragraph20Font"/>
          <w:rFonts w:eastAsia="Calibri"/>
          <w:iCs/>
          <w:color w:val="auto"/>
          <w:sz w:val="28"/>
          <w:szCs w:val="28"/>
        </w:rPr>
        <w:t xml:space="preserve"> знеболювальні властивості НПЗЗ та парацетамолу. </w:t>
      </w:r>
      <w:r w:rsidRPr="00E87CD9">
        <w:rPr>
          <w:rFonts w:eastAsia="Calibri"/>
          <w:color w:val="auto"/>
          <w:sz w:val="28"/>
          <w:szCs w:val="28"/>
        </w:rPr>
        <w:t xml:space="preserve">За умов експериментального остеоартрозу та гіпотиреозу найбільш слабким аналгетиком показав себе парацетамол. Формування гіпотиреозу призвело до того, що селективні та переважні інгібітори ЦОГ-2 значно втратили свою знеболювальну активність </w:t>
      </w:r>
      <w:r w:rsidR="00364504" w:rsidRPr="00E87CD9">
        <w:rPr>
          <w:rFonts w:eastAsia="Calibri"/>
          <w:color w:val="auto"/>
          <w:sz w:val="28"/>
          <w:szCs w:val="28"/>
        </w:rPr>
        <w:t>п</w:t>
      </w:r>
      <w:r w:rsidRPr="00E87CD9">
        <w:rPr>
          <w:rFonts w:eastAsia="Calibri"/>
          <w:color w:val="auto"/>
          <w:sz w:val="28"/>
          <w:szCs w:val="28"/>
        </w:rPr>
        <w:t>орівнян</w:t>
      </w:r>
      <w:r w:rsidR="00364504" w:rsidRPr="00E87CD9">
        <w:rPr>
          <w:rFonts w:eastAsia="Calibri"/>
          <w:color w:val="auto"/>
          <w:sz w:val="28"/>
          <w:szCs w:val="28"/>
        </w:rPr>
        <w:t>о до</w:t>
      </w:r>
      <w:r w:rsidRPr="00E87CD9">
        <w:rPr>
          <w:rFonts w:eastAsia="Calibri"/>
          <w:color w:val="auto"/>
          <w:sz w:val="28"/>
          <w:szCs w:val="28"/>
        </w:rPr>
        <w:t xml:space="preserve"> невибіркови</w:t>
      </w:r>
      <w:r w:rsidR="00364504" w:rsidRPr="00E87CD9">
        <w:rPr>
          <w:rFonts w:eastAsia="Calibri"/>
          <w:color w:val="auto"/>
          <w:sz w:val="28"/>
          <w:szCs w:val="28"/>
        </w:rPr>
        <w:t>х</w:t>
      </w:r>
      <w:r w:rsidRPr="00E87CD9">
        <w:rPr>
          <w:rFonts w:eastAsia="Calibri"/>
          <w:color w:val="auto"/>
          <w:sz w:val="28"/>
          <w:szCs w:val="28"/>
        </w:rPr>
        <w:t xml:space="preserve"> інгібітор</w:t>
      </w:r>
      <w:r w:rsidR="00364504" w:rsidRPr="00E87CD9">
        <w:rPr>
          <w:rFonts w:eastAsia="Calibri"/>
          <w:color w:val="auto"/>
          <w:sz w:val="28"/>
          <w:szCs w:val="28"/>
        </w:rPr>
        <w:t>ів</w:t>
      </w:r>
      <w:r w:rsidRPr="00E87CD9">
        <w:rPr>
          <w:rFonts w:eastAsia="Calibri"/>
          <w:color w:val="auto"/>
          <w:sz w:val="28"/>
          <w:szCs w:val="28"/>
        </w:rPr>
        <w:t xml:space="preserve"> ЦОГ</w:t>
      </w:r>
      <w:r w:rsidR="00364504" w:rsidRPr="00E87CD9">
        <w:rPr>
          <w:rFonts w:eastAsia="Calibri"/>
          <w:color w:val="auto"/>
          <w:sz w:val="28"/>
          <w:szCs w:val="28"/>
        </w:rPr>
        <w:t xml:space="preserve"> – </w:t>
      </w:r>
      <w:r w:rsidRPr="00E87CD9">
        <w:rPr>
          <w:rFonts w:eastAsia="Calibri"/>
          <w:color w:val="auto"/>
          <w:sz w:val="28"/>
          <w:szCs w:val="28"/>
        </w:rPr>
        <w:t>диклофенак</w:t>
      </w:r>
      <w:r w:rsidR="00364504" w:rsidRPr="00E87CD9">
        <w:rPr>
          <w:rFonts w:eastAsia="Calibri"/>
          <w:color w:val="auto"/>
          <w:sz w:val="28"/>
          <w:szCs w:val="28"/>
        </w:rPr>
        <w:t>у</w:t>
      </w:r>
      <w:r w:rsidRPr="00E87CD9">
        <w:rPr>
          <w:rFonts w:eastAsia="Calibri"/>
          <w:color w:val="auto"/>
          <w:sz w:val="28"/>
          <w:szCs w:val="28"/>
        </w:rPr>
        <w:t xml:space="preserve"> натрію. Призначення замісної гормональної терапії гіпотиреозу відновлює антиноцицептивну активність НПЗЗ та парацетамолу.</w:t>
      </w:r>
    </w:p>
    <w:p w:rsidR="00417DC7" w:rsidRPr="00E87CD9" w:rsidRDefault="00417DC7" w:rsidP="003E5F1B">
      <w:pPr>
        <w:spacing w:before="120"/>
        <w:ind w:firstLine="709"/>
        <w:jc w:val="both"/>
        <w:rPr>
          <w:i/>
          <w:color w:val="auto"/>
          <w:kern w:val="2"/>
          <w:sz w:val="28"/>
          <w:szCs w:val="28"/>
          <w:lang w:eastAsia="uk-UA" w:bidi="hi-IN"/>
        </w:rPr>
      </w:pPr>
      <w:r w:rsidRPr="00E87CD9">
        <w:rPr>
          <w:bCs/>
          <w:i/>
          <w:color w:val="auto"/>
          <w:sz w:val="28"/>
          <w:szCs w:val="28"/>
        </w:rPr>
        <w:lastRenderedPageBreak/>
        <w:t xml:space="preserve">Дослідження впливу НПЗЗ, парацетамолу та </w:t>
      </w:r>
      <w:r w:rsidRPr="00E87CD9">
        <w:rPr>
          <w:i/>
          <w:color w:val="auto"/>
          <w:sz w:val="28"/>
          <w:szCs w:val="28"/>
        </w:rPr>
        <w:t>L-тироксину</w:t>
      </w:r>
      <w:r w:rsidRPr="00E87CD9">
        <w:rPr>
          <w:bCs/>
          <w:i/>
          <w:color w:val="auto"/>
          <w:sz w:val="28"/>
          <w:szCs w:val="28"/>
        </w:rPr>
        <w:t xml:space="preserve"> на руховий, дослідницький та емоційний статус щурів у тесті «відкрите поле» за умов експериментального гіпотиреозу та остеоартрозу.</w:t>
      </w:r>
    </w:p>
    <w:p w:rsidR="00417DC7" w:rsidRPr="00E87CD9" w:rsidRDefault="00417DC7" w:rsidP="00417DC7">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Аналіз змін у тесті «відкрите поле» на 42 добу експерименту (завершення формування експериментальних моделей) </w:t>
      </w:r>
      <w:r w:rsidR="008B40DB" w:rsidRPr="00E87CD9">
        <w:rPr>
          <w:rFonts w:ascii="Times New Roman" w:hAnsi="Times New Roman" w:cs="Times New Roman"/>
          <w:color w:val="auto"/>
          <w:sz w:val="28"/>
          <w:szCs w:val="28"/>
          <w:lang w:val="uk-UA"/>
        </w:rPr>
        <w:t xml:space="preserve">у всіх групах дослідження </w:t>
      </w:r>
      <w:r w:rsidRPr="00E87CD9">
        <w:rPr>
          <w:rFonts w:ascii="Times New Roman" w:hAnsi="Times New Roman" w:cs="Times New Roman"/>
          <w:color w:val="auto"/>
          <w:sz w:val="28"/>
          <w:szCs w:val="28"/>
          <w:lang w:val="uk-UA"/>
        </w:rPr>
        <w:t>виявив пригнічення спонтанної поведінкової активності та емоційної лабільності щурів на тлі наростання патологічних змін</w:t>
      </w:r>
      <w:r w:rsidR="008B40DB" w:rsidRPr="00E87CD9">
        <w:rPr>
          <w:rFonts w:ascii="Times New Roman" w:hAnsi="Times New Roman" w:cs="Times New Roman"/>
          <w:color w:val="auto"/>
          <w:sz w:val="28"/>
          <w:szCs w:val="28"/>
          <w:lang w:val="uk-UA"/>
        </w:rPr>
        <w:t>,</w:t>
      </w:r>
      <w:r w:rsidRPr="00E87CD9">
        <w:rPr>
          <w:rFonts w:ascii="Times New Roman" w:hAnsi="Times New Roman" w:cs="Times New Roman"/>
          <w:color w:val="auto"/>
          <w:sz w:val="28"/>
          <w:szCs w:val="28"/>
          <w:lang w:val="uk-UA"/>
        </w:rPr>
        <w:t xml:space="preserve"> обумовлених експериментальним ОА та ГІТ</w:t>
      </w:r>
      <w:r w:rsidR="00A36447" w:rsidRPr="00E87CD9">
        <w:rPr>
          <w:rFonts w:ascii="Times New Roman" w:hAnsi="Times New Roman" w:cs="Times New Roman"/>
          <w:color w:val="auto"/>
          <w:sz w:val="28"/>
          <w:szCs w:val="28"/>
          <w:lang w:val="uk-UA"/>
        </w:rPr>
        <w:t>,</w:t>
      </w:r>
      <w:r w:rsidR="00CF058D" w:rsidRPr="00E87CD9">
        <w:rPr>
          <w:rFonts w:ascii="Times New Roman" w:hAnsi="Times New Roman" w:cs="Times New Roman"/>
          <w:color w:val="auto"/>
          <w:sz w:val="28"/>
          <w:szCs w:val="28"/>
          <w:lang w:val="uk-UA"/>
        </w:rPr>
        <w:t xml:space="preserve"> у порівнянні з </w:t>
      </w:r>
      <w:r w:rsidR="00FE4D8C" w:rsidRPr="00E87CD9">
        <w:rPr>
          <w:rFonts w:ascii="Times New Roman" w:hAnsi="Times New Roman" w:cs="Times New Roman"/>
          <w:color w:val="auto"/>
          <w:sz w:val="28"/>
          <w:szCs w:val="28"/>
          <w:lang w:val="uk-UA"/>
        </w:rPr>
        <w:t>вихідним станом (</w:t>
      </w:r>
      <w:r w:rsidR="00CF058D" w:rsidRPr="00E87CD9">
        <w:rPr>
          <w:rFonts w:ascii="Times New Roman" w:hAnsi="Times New Roman" w:cs="Times New Roman"/>
          <w:color w:val="auto"/>
          <w:sz w:val="28"/>
          <w:szCs w:val="28"/>
          <w:lang w:val="uk-UA"/>
        </w:rPr>
        <w:t>ВС</w:t>
      </w:r>
      <w:r w:rsidR="00FE4D8C" w:rsidRPr="00E87CD9">
        <w:rPr>
          <w:rFonts w:ascii="Times New Roman" w:hAnsi="Times New Roman" w:cs="Times New Roman"/>
          <w:color w:val="auto"/>
          <w:sz w:val="28"/>
          <w:szCs w:val="28"/>
          <w:lang w:val="uk-UA"/>
        </w:rPr>
        <w:t>)</w:t>
      </w:r>
      <w:r w:rsidR="00CF058D" w:rsidRPr="00E87CD9">
        <w:rPr>
          <w:rFonts w:ascii="Times New Roman" w:hAnsi="Times New Roman" w:cs="Times New Roman"/>
          <w:color w:val="auto"/>
          <w:sz w:val="28"/>
          <w:szCs w:val="28"/>
          <w:lang w:val="uk-UA"/>
        </w:rPr>
        <w:t xml:space="preserve"> (р</w:t>
      </w:r>
      <w:r w:rsidR="00CF058D" w:rsidRPr="00E87CD9">
        <w:rPr>
          <w:rFonts w:ascii="Times New Roman" w:eastAsia="Calibri" w:hAnsi="Times New Roman" w:cs="Times New Roman"/>
          <w:iCs/>
          <w:color w:val="auto"/>
          <w:sz w:val="28"/>
          <w:szCs w:val="28"/>
          <w:lang w:val="uk-UA" w:eastAsia="en-US"/>
        </w:rPr>
        <w:t>&lt;</w:t>
      </w:r>
      <w:r w:rsidR="00CF058D" w:rsidRPr="00E87CD9">
        <w:rPr>
          <w:rFonts w:ascii="Times New Roman" w:hAnsi="Times New Roman" w:cs="Times New Roman"/>
          <w:color w:val="auto"/>
          <w:sz w:val="28"/>
          <w:szCs w:val="28"/>
          <w:lang w:val="uk-UA"/>
        </w:rPr>
        <w:t>0,05)</w:t>
      </w:r>
      <w:r w:rsidRPr="00E87CD9">
        <w:rPr>
          <w:rFonts w:ascii="Times New Roman" w:hAnsi="Times New Roman" w:cs="Times New Roman"/>
          <w:color w:val="auto"/>
          <w:sz w:val="28"/>
          <w:szCs w:val="28"/>
          <w:lang w:val="uk-UA"/>
        </w:rPr>
        <w:t>.</w:t>
      </w:r>
    </w:p>
    <w:p w:rsidR="00417DC7" w:rsidRPr="00E87CD9" w:rsidRDefault="00417DC7" w:rsidP="00417DC7">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Встановлено, що на 47 добу експерименту (завершення 5-ти добового призначення ЛЗ) у групі активного контролю </w:t>
      </w:r>
      <w:r w:rsidR="00A40C19" w:rsidRPr="00E87CD9">
        <w:rPr>
          <w:rFonts w:ascii="Times New Roman" w:hAnsi="Times New Roman" w:cs="Times New Roman"/>
          <w:color w:val="auto"/>
          <w:sz w:val="28"/>
          <w:szCs w:val="28"/>
          <w:lang w:val="uk-UA"/>
        </w:rPr>
        <w:t>посилювалось</w:t>
      </w:r>
      <w:r w:rsidRPr="00E87CD9">
        <w:rPr>
          <w:rFonts w:ascii="Times New Roman" w:hAnsi="Times New Roman" w:cs="Times New Roman"/>
          <w:color w:val="auto"/>
          <w:sz w:val="28"/>
          <w:szCs w:val="28"/>
          <w:lang w:val="uk-UA"/>
        </w:rPr>
        <w:t xml:space="preserve"> пригнічення спонтанної поведінкової активності та емоційної лабільності щурів на тлі наростання патологічних змін</w:t>
      </w:r>
      <w:r w:rsidR="008B40DB" w:rsidRPr="00E87CD9">
        <w:rPr>
          <w:rFonts w:ascii="Times New Roman" w:hAnsi="Times New Roman" w:cs="Times New Roman"/>
          <w:color w:val="auto"/>
          <w:sz w:val="28"/>
          <w:szCs w:val="28"/>
          <w:lang w:val="uk-UA"/>
        </w:rPr>
        <w:t>,</w:t>
      </w:r>
      <w:r w:rsidRPr="00E87CD9">
        <w:rPr>
          <w:rFonts w:ascii="Times New Roman" w:hAnsi="Times New Roman" w:cs="Times New Roman"/>
          <w:color w:val="auto"/>
          <w:sz w:val="28"/>
          <w:szCs w:val="28"/>
          <w:lang w:val="uk-UA"/>
        </w:rPr>
        <w:t xml:space="preserve"> обумовлених експериментальним ОА та ГІТ</w:t>
      </w:r>
      <w:r w:rsidR="00A40C19" w:rsidRPr="00E87CD9">
        <w:rPr>
          <w:rFonts w:ascii="Times New Roman" w:hAnsi="Times New Roman" w:cs="Times New Roman"/>
          <w:color w:val="auto"/>
          <w:sz w:val="28"/>
          <w:szCs w:val="28"/>
          <w:lang w:val="uk-UA"/>
        </w:rPr>
        <w:t>,</w:t>
      </w:r>
      <w:r w:rsidRPr="00E87CD9">
        <w:rPr>
          <w:rFonts w:ascii="Times New Roman" w:hAnsi="Times New Roman" w:cs="Times New Roman"/>
          <w:color w:val="auto"/>
          <w:sz w:val="28"/>
          <w:szCs w:val="28"/>
          <w:lang w:val="uk-UA"/>
        </w:rPr>
        <w:t xml:space="preserve"> та за умов відсутності «лікування»</w:t>
      </w:r>
      <w:r w:rsidR="00297E8A" w:rsidRPr="00E87CD9">
        <w:rPr>
          <w:rFonts w:ascii="Times New Roman" w:hAnsi="Times New Roman" w:cs="Times New Roman"/>
          <w:color w:val="auto"/>
          <w:sz w:val="28"/>
          <w:szCs w:val="28"/>
          <w:lang w:val="uk-UA"/>
        </w:rPr>
        <w:t xml:space="preserve"> (р</w:t>
      </w:r>
      <w:r w:rsidR="00297E8A" w:rsidRPr="00E87CD9">
        <w:rPr>
          <w:rFonts w:ascii="Times New Roman" w:eastAsia="Calibri" w:hAnsi="Times New Roman" w:cs="Times New Roman"/>
          <w:iCs/>
          <w:color w:val="auto"/>
          <w:sz w:val="28"/>
          <w:szCs w:val="28"/>
          <w:lang w:val="uk-UA" w:eastAsia="en-US"/>
        </w:rPr>
        <w:t>&lt;</w:t>
      </w:r>
      <w:r w:rsidR="00297E8A" w:rsidRPr="00E87CD9">
        <w:rPr>
          <w:rFonts w:ascii="Times New Roman" w:hAnsi="Times New Roman" w:cs="Times New Roman"/>
          <w:color w:val="auto"/>
          <w:sz w:val="28"/>
          <w:szCs w:val="28"/>
          <w:lang w:val="uk-UA"/>
        </w:rPr>
        <w:t>0,05)</w:t>
      </w:r>
      <w:r w:rsidRPr="00E87CD9">
        <w:rPr>
          <w:rFonts w:ascii="Times New Roman" w:hAnsi="Times New Roman" w:cs="Times New Roman"/>
          <w:color w:val="auto"/>
          <w:sz w:val="28"/>
          <w:szCs w:val="28"/>
          <w:lang w:val="uk-UA"/>
        </w:rPr>
        <w:t xml:space="preserve">. </w:t>
      </w:r>
      <w:r w:rsidRPr="00E87CD9">
        <w:rPr>
          <w:rFonts w:ascii="Times New Roman" w:eastAsia="Calibri" w:hAnsi="Times New Roman" w:cs="Times New Roman"/>
          <w:color w:val="auto"/>
          <w:sz w:val="28"/>
          <w:szCs w:val="28"/>
          <w:lang w:val="uk-UA"/>
        </w:rPr>
        <w:t xml:space="preserve">Замісна гормональна </w:t>
      </w:r>
      <w:r w:rsidRPr="00E87CD9">
        <w:rPr>
          <w:rFonts w:ascii="Times New Roman" w:hAnsi="Times New Roman" w:cs="Times New Roman"/>
          <w:color w:val="auto"/>
          <w:sz w:val="28"/>
          <w:szCs w:val="28"/>
          <w:lang w:val="uk-UA"/>
        </w:rPr>
        <w:t xml:space="preserve">терапія L-тироксином сприяла відновленню </w:t>
      </w:r>
      <w:r w:rsidRPr="00E87CD9">
        <w:rPr>
          <w:rFonts w:ascii="Times New Roman" w:hAnsi="Times New Roman" w:cs="Times New Roman"/>
          <w:bCs/>
          <w:color w:val="auto"/>
          <w:sz w:val="28"/>
          <w:szCs w:val="28"/>
          <w:lang w:val="uk-UA"/>
        </w:rPr>
        <w:t>рухової та дослідницької активності</w:t>
      </w:r>
      <w:r w:rsidRPr="00E87CD9">
        <w:rPr>
          <w:rFonts w:ascii="Times New Roman" w:hAnsi="Times New Roman" w:cs="Times New Roman"/>
          <w:color w:val="auto"/>
          <w:sz w:val="28"/>
          <w:szCs w:val="28"/>
          <w:lang w:val="uk-UA"/>
        </w:rPr>
        <w:t xml:space="preserve"> щурів за умов експериментального ОА та ГІТ</w:t>
      </w:r>
      <w:r w:rsidR="00297E8A" w:rsidRPr="00E87CD9">
        <w:rPr>
          <w:rFonts w:ascii="Times New Roman" w:hAnsi="Times New Roman" w:cs="Times New Roman"/>
          <w:color w:val="auto"/>
          <w:sz w:val="28"/>
          <w:szCs w:val="28"/>
          <w:lang w:val="uk-UA"/>
        </w:rPr>
        <w:t xml:space="preserve"> (р</w:t>
      </w:r>
      <w:r w:rsidR="00297E8A" w:rsidRPr="00E87CD9">
        <w:rPr>
          <w:rFonts w:ascii="Times New Roman" w:eastAsia="Calibri" w:hAnsi="Times New Roman" w:cs="Times New Roman"/>
          <w:iCs/>
          <w:color w:val="auto"/>
          <w:sz w:val="28"/>
          <w:szCs w:val="28"/>
          <w:lang w:val="uk-UA" w:eastAsia="en-US"/>
        </w:rPr>
        <w:t>&lt;</w:t>
      </w:r>
      <w:r w:rsidR="00297E8A" w:rsidRPr="00E87CD9">
        <w:rPr>
          <w:rFonts w:ascii="Times New Roman" w:hAnsi="Times New Roman" w:cs="Times New Roman"/>
          <w:color w:val="auto"/>
          <w:sz w:val="28"/>
          <w:szCs w:val="28"/>
          <w:lang w:val="uk-UA"/>
        </w:rPr>
        <w:t>0,05)</w:t>
      </w:r>
      <w:r w:rsidRPr="00E87CD9">
        <w:rPr>
          <w:rFonts w:ascii="Times New Roman" w:hAnsi="Times New Roman" w:cs="Times New Roman"/>
          <w:color w:val="auto"/>
          <w:sz w:val="28"/>
          <w:szCs w:val="28"/>
          <w:lang w:val="uk-UA"/>
        </w:rPr>
        <w:t>.</w:t>
      </w:r>
    </w:p>
    <w:p w:rsidR="00417DC7" w:rsidRPr="00E87CD9" w:rsidRDefault="00417DC7" w:rsidP="00417DC7">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Показано, що сумісне призначення НПЗЗ та парацетамолу із замісною гормональною терапією L-тироксином сприяє позитивним змінам </w:t>
      </w:r>
      <w:r w:rsidRPr="00E87CD9">
        <w:rPr>
          <w:rFonts w:ascii="Times New Roman" w:hAnsi="Times New Roman" w:cs="Times New Roman"/>
          <w:bCs/>
          <w:color w:val="auto"/>
          <w:sz w:val="28"/>
          <w:szCs w:val="28"/>
          <w:lang w:val="uk-UA"/>
        </w:rPr>
        <w:t>рухової та дослідницької активності</w:t>
      </w:r>
      <w:r w:rsidRPr="00E87CD9">
        <w:rPr>
          <w:rFonts w:ascii="Times New Roman" w:hAnsi="Times New Roman" w:cs="Times New Roman"/>
          <w:color w:val="auto"/>
          <w:sz w:val="28"/>
          <w:szCs w:val="28"/>
          <w:lang w:val="uk-UA"/>
        </w:rPr>
        <w:t xml:space="preserve"> щурів за умов експериментального ОА та ГІТ та має різний вплив на показники спонтанної поведінкової активності.</w:t>
      </w:r>
    </w:p>
    <w:p w:rsidR="00520E45" w:rsidRPr="00E87CD9" w:rsidRDefault="00417DC7" w:rsidP="00417DC7">
      <w:pPr>
        <w:ind w:firstLine="709"/>
        <w:jc w:val="both"/>
        <w:rPr>
          <w:color w:val="auto"/>
          <w:sz w:val="28"/>
          <w:szCs w:val="28"/>
        </w:rPr>
      </w:pPr>
      <w:r w:rsidRPr="00E87CD9">
        <w:rPr>
          <w:color w:val="auto"/>
          <w:kern w:val="2"/>
          <w:sz w:val="28"/>
          <w:szCs w:val="28"/>
          <w:lang w:eastAsia="uk-UA" w:bidi="hi-IN"/>
        </w:rPr>
        <w:t>Так, п</w:t>
      </w:r>
      <w:r w:rsidRPr="00E87CD9">
        <w:rPr>
          <w:color w:val="auto"/>
          <w:sz w:val="28"/>
          <w:szCs w:val="28"/>
        </w:rPr>
        <w:t>ризначення диклофенаку натрію (III група) на 47 добу призвело до</w:t>
      </w:r>
      <w:r w:rsidR="00B84E81" w:rsidRPr="00E87CD9">
        <w:rPr>
          <w:color w:val="auto"/>
          <w:sz w:val="28"/>
          <w:szCs w:val="28"/>
        </w:rPr>
        <w:t xml:space="preserve"> зниження кількості пересічених квадратів, стійок та заглядань у «н</w:t>
      </w:r>
      <w:r w:rsidR="00D37BB9" w:rsidRPr="00E87CD9">
        <w:rPr>
          <w:color w:val="auto"/>
          <w:sz w:val="28"/>
          <w:szCs w:val="28"/>
        </w:rPr>
        <w:t>о</w:t>
      </w:r>
      <w:r w:rsidR="00B84E81" w:rsidRPr="00E87CD9">
        <w:rPr>
          <w:color w:val="auto"/>
          <w:sz w:val="28"/>
          <w:szCs w:val="28"/>
        </w:rPr>
        <w:t>рки» на 30,3% (р</w:t>
      </w:r>
      <w:r w:rsidR="00B84E81" w:rsidRPr="00E87CD9">
        <w:rPr>
          <w:rFonts w:eastAsia="Calibri"/>
          <w:iCs/>
          <w:color w:val="auto"/>
          <w:sz w:val="28"/>
          <w:szCs w:val="28"/>
        </w:rPr>
        <w:t>&lt;</w:t>
      </w:r>
      <w:r w:rsidR="00B84E81" w:rsidRPr="00E87CD9">
        <w:rPr>
          <w:color w:val="auto"/>
          <w:sz w:val="28"/>
          <w:szCs w:val="28"/>
        </w:rPr>
        <w:t>0,05), 84,7% (р</w:t>
      </w:r>
      <w:r w:rsidR="00B84E81" w:rsidRPr="00E87CD9">
        <w:rPr>
          <w:rFonts w:eastAsia="Calibri"/>
          <w:iCs/>
          <w:color w:val="auto"/>
          <w:sz w:val="28"/>
          <w:szCs w:val="28"/>
        </w:rPr>
        <w:t>&lt;</w:t>
      </w:r>
      <w:r w:rsidR="00B84E81" w:rsidRPr="00E87CD9">
        <w:rPr>
          <w:color w:val="auto"/>
          <w:sz w:val="28"/>
          <w:szCs w:val="28"/>
        </w:rPr>
        <w:t>0,05) та 56,3% (р</w:t>
      </w:r>
      <w:r w:rsidR="00B84E81" w:rsidRPr="00E87CD9">
        <w:rPr>
          <w:rFonts w:eastAsia="Calibri"/>
          <w:iCs/>
          <w:color w:val="auto"/>
          <w:sz w:val="28"/>
          <w:szCs w:val="28"/>
        </w:rPr>
        <w:t>&lt;</w:t>
      </w:r>
      <w:r w:rsidR="00B84E81" w:rsidRPr="00E87CD9">
        <w:rPr>
          <w:color w:val="auto"/>
          <w:sz w:val="28"/>
          <w:szCs w:val="28"/>
        </w:rPr>
        <w:t>0,05) відповідно, а кількість актів грумінгу та болюсів знизились на 47,9% (р</w:t>
      </w:r>
      <w:r w:rsidR="00B84E81" w:rsidRPr="00E87CD9">
        <w:rPr>
          <w:rFonts w:eastAsia="Calibri"/>
          <w:iCs/>
          <w:color w:val="auto"/>
          <w:sz w:val="28"/>
          <w:szCs w:val="28"/>
        </w:rPr>
        <w:t>&lt;</w:t>
      </w:r>
      <w:r w:rsidR="00B84E81" w:rsidRPr="00E87CD9">
        <w:rPr>
          <w:color w:val="auto"/>
          <w:sz w:val="28"/>
          <w:szCs w:val="28"/>
        </w:rPr>
        <w:t>0,05) та 15,3% (р</w:t>
      </w:r>
      <w:r w:rsidR="00B84E81" w:rsidRPr="00E87CD9">
        <w:rPr>
          <w:rFonts w:eastAsia="Calibri"/>
          <w:iCs/>
          <w:color w:val="auto"/>
          <w:sz w:val="28"/>
          <w:szCs w:val="28"/>
        </w:rPr>
        <w:t>&gt;</w:t>
      </w:r>
      <w:r w:rsidR="00B84E81" w:rsidRPr="00E87CD9">
        <w:rPr>
          <w:color w:val="auto"/>
          <w:sz w:val="28"/>
          <w:szCs w:val="28"/>
        </w:rPr>
        <w:t xml:space="preserve">0,05) відповідно відносно ВС. </w:t>
      </w:r>
      <w:r w:rsidR="00520E45" w:rsidRPr="00E87CD9">
        <w:rPr>
          <w:color w:val="auto"/>
          <w:sz w:val="28"/>
          <w:szCs w:val="28"/>
        </w:rPr>
        <w:t>При призначенні диклофенаку натрію сумісно з L-тироксином (IV група) статистично достовірні результати отримані тільки за кількістю актів грумінгу, які зменшились на 38,7% (р</w:t>
      </w:r>
      <w:r w:rsidR="00520E45" w:rsidRPr="00E87CD9">
        <w:rPr>
          <w:rFonts w:eastAsia="Calibri"/>
          <w:iCs/>
          <w:color w:val="auto"/>
          <w:sz w:val="28"/>
          <w:szCs w:val="28"/>
        </w:rPr>
        <w:t>&lt;</w:t>
      </w:r>
      <w:r w:rsidR="00520E45" w:rsidRPr="00E87CD9">
        <w:rPr>
          <w:color w:val="auto"/>
          <w:sz w:val="28"/>
          <w:szCs w:val="28"/>
        </w:rPr>
        <w:t>0,05) відносно ВС.</w:t>
      </w:r>
    </w:p>
    <w:p w:rsidR="00417DC7" w:rsidRPr="00E87CD9" w:rsidRDefault="00417DC7" w:rsidP="00417DC7">
      <w:pPr>
        <w:ind w:firstLine="709"/>
        <w:jc w:val="both"/>
        <w:rPr>
          <w:color w:val="auto"/>
          <w:sz w:val="28"/>
          <w:szCs w:val="28"/>
        </w:rPr>
      </w:pPr>
      <w:r w:rsidRPr="00E87CD9">
        <w:rPr>
          <w:color w:val="auto"/>
          <w:sz w:val="28"/>
          <w:szCs w:val="28"/>
        </w:rPr>
        <w:t>Встановлено, що призначення диклофенаку натрію сумісно з L-тироксином сприяє більш ефективному відновленню рухової та дослідницької активності у порівнянні з призначенням тільки L-тироксину, а вегетативний компонент емоційних реакцій у щурів III та IV груп на 47 добу характеризувався пригніченням емоційної лабільності</w:t>
      </w:r>
      <w:r w:rsidR="00907FD6" w:rsidRPr="00E87CD9">
        <w:rPr>
          <w:color w:val="auto"/>
          <w:sz w:val="28"/>
          <w:szCs w:val="28"/>
        </w:rPr>
        <w:t xml:space="preserve"> (р</w:t>
      </w:r>
      <w:r w:rsidR="00907FD6" w:rsidRPr="00E87CD9">
        <w:rPr>
          <w:rFonts w:eastAsia="Calibri"/>
          <w:iCs/>
          <w:color w:val="auto"/>
          <w:sz w:val="28"/>
          <w:szCs w:val="28"/>
        </w:rPr>
        <w:t>&lt;</w:t>
      </w:r>
      <w:r w:rsidR="00907FD6" w:rsidRPr="00E87CD9">
        <w:rPr>
          <w:color w:val="auto"/>
          <w:sz w:val="28"/>
          <w:szCs w:val="28"/>
        </w:rPr>
        <w:t>0,05)</w:t>
      </w:r>
      <w:r w:rsidRPr="00E87CD9">
        <w:rPr>
          <w:color w:val="auto"/>
          <w:sz w:val="28"/>
          <w:szCs w:val="28"/>
        </w:rPr>
        <w:t>.</w:t>
      </w:r>
    </w:p>
    <w:p w:rsidR="00417DC7" w:rsidRPr="00E87CD9" w:rsidRDefault="00417DC7" w:rsidP="00417DC7">
      <w:pPr>
        <w:ind w:firstLine="709"/>
        <w:jc w:val="both"/>
        <w:rPr>
          <w:color w:val="auto"/>
          <w:sz w:val="28"/>
          <w:szCs w:val="28"/>
        </w:rPr>
      </w:pPr>
      <w:r w:rsidRPr="00E87CD9">
        <w:rPr>
          <w:rFonts w:eastAsia="Calibri"/>
          <w:color w:val="auto"/>
          <w:sz w:val="28"/>
          <w:szCs w:val="28"/>
        </w:rPr>
        <w:t xml:space="preserve">Таким чином, проведені дослідження дозволили визначити препарат-лідер за знеболюючою дією та здатністю відновлювати рухову та </w:t>
      </w:r>
      <w:r w:rsidRPr="00E87CD9">
        <w:rPr>
          <w:color w:val="auto"/>
          <w:sz w:val="28"/>
          <w:szCs w:val="28"/>
        </w:rPr>
        <w:t>дослідницьку</w:t>
      </w:r>
      <w:r w:rsidRPr="00E87CD9">
        <w:rPr>
          <w:rFonts w:eastAsia="Calibri"/>
          <w:color w:val="auto"/>
          <w:sz w:val="28"/>
          <w:szCs w:val="28"/>
        </w:rPr>
        <w:t xml:space="preserve"> активність у щурів з ОА та супутнім ГІТ – диклофенак натрію.</w:t>
      </w:r>
    </w:p>
    <w:p w:rsidR="00417DC7" w:rsidRPr="00E87CD9" w:rsidRDefault="00417DC7" w:rsidP="00A36447">
      <w:pPr>
        <w:spacing w:before="120"/>
        <w:ind w:firstLine="709"/>
        <w:jc w:val="both"/>
        <w:rPr>
          <w:i/>
          <w:color w:val="auto"/>
          <w:kern w:val="2"/>
          <w:sz w:val="28"/>
          <w:szCs w:val="28"/>
          <w:lang w:eastAsia="uk-UA" w:bidi="hi-IN"/>
        </w:rPr>
      </w:pPr>
      <w:r w:rsidRPr="00E87CD9">
        <w:rPr>
          <w:bCs/>
          <w:i/>
          <w:color w:val="auto"/>
          <w:sz w:val="28"/>
          <w:szCs w:val="28"/>
        </w:rPr>
        <w:t>Оцінка біохімічних змін у сироватці крові щурів під впливом фармакотерапії НПЗЗ та парацетамолу за умов експериментального гіпотиреозу та остеоартрозу на фоні замісної гормональної терапії L-тироксином.</w:t>
      </w:r>
    </w:p>
    <w:p w:rsidR="00417DC7" w:rsidRPr="00E87CD9" w:rsidRDefault="00417DC7" w:rsidP="00417DC7">
      <w:pPr>
        <w:ind w:firstLine="709"/>
        <w:jc w:val="both"/>
        <w:rPr>
          <w:color w:val="auto"/>
          <w:sz w:val="28"/>
          <w:szCs w:val="28"/>
        </w:rPr>
      </w:pPr>
      <w:r w:rsidRPr="00E87CD9">
        <w:rPr>
          <w:color w:val="auto"/>
          <w:sz w:val="28"/>
          <w:szCs w:val="28"/>
        </w:rPr>
        <w:t>Аналіз отриманих результатів дозволив встановити, що за ступенем впливу на запальні процеси у суглобі</w:t>
      </w:r>
      <w:r w:rsidR="00364504" w:rsidRPr="00E87CD9">
        <w:rPr>
          <w:color w:val="auto"/>
          <w:sz w:val="28"/>
          <w:szCs w:val="28"/>
        </w:rPr>
        <w:t>, що характеризуються, зокрема,</w:t>
      </w:r>
      <w:r w:rsidRPr="00E87CD9">
        <w:rPr>
          <w:color w:val="auto"/>
          <w:sz w:val="28"/>
          <w:szCs w:val="28"/>
        </w:rPr>
        <w:t xml:space="preserve"> рівн</w:t>
      </w:r>
      <w:r w:rsidR="00364504" w:rsidRPr="00E87CD9">
        <w:rPr>
          <w:color w:val="auto"/>
          <w:sz w:val="28"/>
          <w:szCs w:val="28"/>
        </w:rPr>
        <w:t>ями</w:t>
      </w:r>
      <w:r w:rsidRPr="00E87CD9">
        <w:rPr>
          <w:color w:val="auto"/>
          <w:sz w:val="28"/>
          <w:szCs w:val="28"/>
        </w:rPr>
        <w:t xml:space="preserve"> інтерлейкінів (IL 1, IL 6 та IL 8), матриксних металопротеїназ (ММП-3, ММП-9 та ММП-13), фактору некрозу пухлин (ФНП) та С-реактивного протеїну (СРП)</w:t>
      </w:r>
      <w:r w:rsidR="004C1128" w:rsidRPr="00E87CD9">
        <w:rPr>
          <w:color w:val="auto"/>
          <w:sz w:val="28"/>
          <w:szCs w:val="28"/>
        </w:rPr>
        <w:t>,</w:t>
      </w:r>
      <w:r w:rsidRPr="00E87CD9">
        <w:rPr>
          <w:color w:val="auto"/>
          <w:sz w:val="28"/>
          <w:szCs w:val="28"/>
        </w:rPr>
        <w:t xml:space="preserve"> досліджені препарати розташувались наступним чином: диклофенак натрію &gt; ібупрофен &gt; німесулід = мелоксикам &gt; целекоксиб &gt; парацетамол, що </w:t>
      </w:r>
      <w:r w:rsidRPr="00E87CD9">
        <w:rPr>
          <w:color w:val="auto"/>
          <w:sz w:val="28"/>
          <w:szCs w:val="28"/>
        </w:rPr>
        <w:lastRenderedPageBreak/>
        <w:t xml:space="preserve">відображає різну ефективність зазначених препаратів </w:t>
      </w:r>
      <w:r w:rsidR="004B3DAF" w:rsidRPr="00E87CD9">
        <w:rPr>
          <w:color w:val="auto"/>
          <w:sz w:val="28"/>
          <w:szCs w:val="28"/>
        </w:rPr>
        <w:t xml:space="preserve">щодопригнічення </w:t>
      </w:r>
      <w:r w:rsidR="004C1128" w:rsidRPr="00E87CD9">
        <w:rPr>
          <w:color w:val="auto"/>
          <w:sz w:val="28"/>
          <w:szCs w:val="28"/>
        </w:rPr>
        <w:t>інтенсивн</w:t>
      </w:r>
      <w:r w:rsidR="004B3DAF" w:rsidRPr="00E87CD9">
        <w:rPr>
          <w:color w:val="auto"/>
          <w:sz w:val="28"/>
          <w:szCs w:val="28"/>
        </w:rPr>
        <w:t>ості</w:t>
      </w:r>
      <w:r w:rsidR="004C1128" w:rsidRPr="00E87CD9">
        <w:rPr>
          <w:color w:val="auto"/>
          <w:sz w:val="28"/>
          <w:szCs w:val="28"/>
        </w:rPr>
        <w:t xml:space="preserve"> запалення за</w:t>
      </w:r>
      <w:r w:rsidRPr="00E87CD9">
        <w:rPr>
          <w:color w:val="auto"/>
          <w:sz w:val="28"/>
          <w:szCs w:val="28"/>
        </w:rPr>
        <w:t xml:space="preserve"> коморбідної патології</w:t>
      </w:r>
      <w:r w:rsidR="002421B4" w:rsidRPr="00E87CD9">
        <w:rPr>
          <w:color w:val="auto"/>
          <w:sz w:val="28"/>
          <w:szCs w:val="28"/>
        </w:rPr>
        <w:t xml:space="preserve"> (</w:t>
      </w:r>
      <w:r w:rsidR="002421B4" w:rsidRPr="00E87CD9">
        <w:rPr>
          <w:rFonts w:eastAsia="Calibri"/>
          <w:iCs/>
          <w:color w:val="auto"/>
          <w:sz w:val="28"/>
          <w:szCs w:val="28"/>
        </w:rPr>
        <w:t>р&lt;0,05</w:t>
      </w:r>
      <w:r w:rsidR="002421B4" w:rsidRPr="00E87CD9">
        <w:rPr>
          <w:color w:val="auto"/>
          <w:sz w:val="28"/>
          <w:szCs w:val="28"/>
        </w:rPr>
        <w:t>)</w:t>
      </w:r>
      <w:r w:rsidR="00EE5B96" w:rsidRPr="00E87CD9">
        <w:rPr>
          <w:color w:val="auto"/>
          <w:sz w:val="28"/>
          <w:szCs w:val="28"/>
        </w:rPr>
        <w:t xml:space="preserve"> (рис. 4)</w:t>
      </w:r>
      <w:r w:rsidRPr="00E87CD9">
        <w:rPr>
          <w:color w:val="auto"/>
          <w:sz w:val="28"/>
          <w:szCs w:val="28"/>
        </w:rPr>
        <w:t>.</w:t>
      </w:r>
    </w:p>
    <w:p w:rsidR="00417DC7" w:rsidRPr="00E87CD9" w:rsidRDefault="00417DC7" w:rsidP="004C1128">
      <w:pPr>
        <w:pStyle w:val="WW-1"/>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Проте, </w:t>
      </w:r>
      <w:r w:rsidR="004B3DAF" w:rsidRPr="00E87CD9">
        <w:rPr>
          <w:rFonts w:ascii="Times New Roman" w:hAnsi="Times New Roman" w:cs="Times New Roman"/>
          <w:color w:val="auto"/>
          <w:sz w:val="28"/>
          <w:szCs w:val="28"/>
          <w:lang w:val="uk-UA"/>
        </w:rPr>
        <w:t>звертає</w:t>
      </w:r>
      <w:r w:rsidRPr="00E87CD9">
        <w:rPr>
          <w:rFonts w:ascii="Times New Roman" w:hAnsi="Times New Roman" w:cs="Times New Roman"/>
          <w:color w:val="auto"/>
          <w:sz w:val="28"/>
          <w:szCs w:val="28"/>
          <w:lang w:val="uk-UA"/>
        </w:rPr>
        <w:t xml:space="preserve"> увагу парацетамол, який при монотерапії не впливав на рівень </w:t>
      </w:r>
      <w:r w:rsidR="00E352E0" w:rsidRPr="00E87CD9">
        <w:rPr>
          <w:rFonts w:ascii="Times New Roman" w:hAnsi="Times New Roman" w:cs="Times New Roman"/>
          <w:color w:val="auto"/>
          <w:sz w:val="28"/>
          <w:szCs w:val="28"/>
        </w:rPr>
        <w:t>IL 1</w:t>
      </w:r>
      <w:r w:rsidR="00524E4F" w:rsidRPr="00E87CD9">
        <w:rPr>
          <w:rFonts w:ascii="Times New Roman" w:hAnsi="Times New Roman" w:cs="Times New Roman"/>
          <w:color w:val="auto"/>
          <w:sz w:val="28"/>
          <w:szCs w:val="28"/>
          <w:lang w:val="uk-UA"/>
        </w:rPr>
        <w:t xml:space="preserve"> та</w:t>
      </w:r>
      <w:r w:rsidR="00E352E0" w:rsidRPr="00E87CD9">
        <w:rPr>
          <w:rFonts w:ascii="Times New Roman" w:hAnsi="Times New Roman" w:cs="Times New Roman"/>
          <w:color w:val="auto"/>
          <w:sz w:val="28"/>
          <w:szCs w:val="28"/>
        </w:rPr>
        <w:t xml:space="preserve"> IL 6</w:t>
      </w:r>
      <w:r w:rsidRPr="00E87CD9">
        <w:rPr>
          <w:rFonts w:ascii="Times New Roman" w:hAnsi="Times New Roman" w:cs="Times New Roman"/>
          <w:color w:val="auto"/>
          <w:sz w:val="28"/>
          <w:szCs w:val="28"/>
          <w:lang w:val="uk-UA"/>
        </w:rPr>
        <w:t>(</w:t>
      </w:r>
      <w:r w:rsidRPr="00E87CD9">
        <w:rPr>
          <w:rFonts w:ascii="Times New Roman" w:eastAsia="Calibri" w:hAnsi="Times New Roman" w:cs="Times New Roman"/>
          <w:iCs/>
          <w:color w:val="auto"/>
          <w:sz w:val="28"/>
          <w:szCs w:val="28"/>
          <w:lang w:val="uk-UA"/>
        </w:rPr>
        <w:t>р</w:t>
      </w:r>
      <w:r w:rsidR="004B3DAF" w:rsidRPr="00E87CD9">
        <w:rPr>
          <w:rFonts w:ascii="Times New Roman" w:eastAsia="Calibri" w:hAnsi="Times New Roman" w:cs="Times New Roman"/>
          <w:iCs/>
          <w:color w:val="auto"/>
          <w:sz w:val="28"/>
          <w:szCs w:val="28"/>
        </w:rPr>
        <w:t>&gt;</w:t>
      </w:r>
      <w:r w:rsidRPr="00E87CD9">
        <w:rPr>
          <w:rFonts w:ascii="Times New Roman" w:eastAsia="Calibri" w:hAnsi="Times New Roman" w:cs="Times New Roman"/>
          <w:iCs/>
          <w:color w:val="auto"/>
          <w:sz w:val="28"/>
          <w:szCs w:val="28"/>
          <w:lang w:val="uk-UA"/>
        </w:rPr>
        <w:t>0,05</w:t>
      </w:r>
      <w:r w:rsidRPr="00E87CD9">
        <w:rPr>
          <w:rFonts w:ascii="Times New Roman" w:hAnsi="Times New Roman" w:cs="Times New Roman"/>
          <w:color w:val="auto"/>
          <w:sz w:val="28"/>
          <w:szCs w:val="28"/>
          <w:lang w:val="uk-UA"/>
        </w:rPr>
        <w:t>) на 47 добу експерименту (ІХ група), а при сумісному призначен</w:t>
      </w:r>
      <w:r w:rsidR="004B3DAF" w:rsidRPr="00E87CD9">
        <w:rPr>
          <w:rFonts w:ascii="Times New Roman" w:hAnsi="Times New Roman" w:cs="Times New Roman"/>
          <w:color w:val="auto"/>
          <w:sz w:val="28"/>
          <w:szCs w:val="28"/>
          <w:lang w:val="uk-UA"/>
        </w:rPr>
        <w:t>н</w:t>
      </w:r>
      <w:r w:rsidRPr="00E87CD9">
        <w:rPr>
          <w:rFonts w:ascii="Times New Roman" w:hAnsi="Times New Roman" w:cs="Times New Roman"/>
          <w:color w:val="auto"/>
          <w:sz w:val="28"/>
          <w:szCs w:val="28"/>
          <w:lang w:val="uk-UA"/>
        </w:rPr>
        <w:t xml:space="preserve">і з L-тироксином (Х група) </w:t>
      </w:r>
      <w:r w:rsidR="00B04E59" w:rsidRPr="00E87CD9">
        <w:rPr>
          <w:rFonts w:ascii="Times New Roman" w:hAnsi="Times New Roman" w:cs="Times New Roman"/>
          <w:color w:val="auto"/>
          <w:sz w:val="28"/>
          <w:szCs w:val="28"/>
          <w:lang w:val="uk-UA"/>
        </w:rPr>
        <w:t xml:space="preserve">визначено достовірне зниження рівнів </w:t>
      </w:r>
      <w:r w:rsidR="00524E4F" w:rsidRPr="00E87CD9">
        <w:rPr>
          <w:rFonts w:ascii="Times New Roman" w:hAnsi="Times New Roman" w:cs="Times New Roman"/>
          <w:color w:val="auto"/>
          <w:sz w:val="28"/>
          <w:szCs w:val="28"/>
          <w:lang w:val="uk-UA"/>
        </w:rPr>
        <w:t>IL 1 та IL 6 на 33,3% та 35,6% відповідно (р&lt;0,05).</w:t>
      </w:r>
      <w:r w:rsidR="004C1128" w:rsidRPr="00E87CD9">
        <w:rPr>
          <w:rFonts w:ascii="Times New Roman" w:hAnsi="Times New Roman" w:cs="Times New Roman"/>
          <w:color w:val="auto"/>
          <w:sz w:val="28"/>
          <w:szCs w:val="28"/>
          <w:lang w:val="uk-UA"/>
        </w:rPr>
        <w:t xml:space="preserve"> Водночас, не визначено різниці між впливом парацетамолу на рів</w:t>
      </w:r>
      <w:r w:rsidR="00524E4F" w:rsidRPr="00E87CD9">
        <w:rPr>
          <w:rFonts w:ascii="Times New Roman" w:hAnsi="Times New Roman" w:cs="Times New Roman"/>
          <w:color w:val="auto"/>
          <w:sz w:val="28"/>
          <w:szCs w:val="28"/>
          <w:lang w:val="uk-UA"/>
        </w:rPr>
        <w:t xml:space="preserve">ні </w:t>
      </w:r>
      <w:r w:rsidR="00524E4F" w:rsidRPr="00E87CD9">
        <w:rPr>
          <w:rFonts w:ascii="Times New Roman" w:hAnsi="Times New Roman" w:cs="Times New Roman"/>
          <w:color w:val="auto"/>
          <w:sz w:val="28"/>
          <w:szCs w:val="28"/>
        </w:rPr>
        <w:t>ММП-3, ММП-9</w:t>
      </w:r>
      <w:r w:rsidR="0082224F" w:rsidRPr="00E87CD9">
        <w:rPr>
          <w:rFonts w:ascii="Times New Roman" w:hAnsi="Times New Roman" w:cs="Times New Roman"/>
          <w:color w:val="auto"/>
          <w:sz w:val="28"/>
          <w:szCs w:val="28"/>
          <w:lang w:val="uk-UA"/>
        </w:rPr>
        <w:t>,</w:t>
      </w:r>
      <w:r w:rsidR="00524E4F" w:rsidRPr="00E87CD9">
        <w:rPr>
          <w:rFonts w:ascii="Times New Roman" w:hAnsi="Times New Roman" w:cs="Times New Roman"/>
          <w:color w:val="auto"/>
          <w:sz w:val="28"/>
          <w:szCs w:val="28"/>
        </w:rPr>
        <w:t xml:space="preserve"> ММП-13</w:t>
      </w:r>
      <w:r w:rsidR="00524E4F" w:rsidRPr="00E87CD9">
        <w:rPr>
          <w:rFonts w:ascii="Times New Roman" w:hAnsi="Times New Roman" w:cs="Times New Roman"/>
          <w:color w:val="auto"/>
          <w:sz w:val="28"/>
          <w:szCs w:val="28"/>
          <w:lang w:val="uk-UA"/>
        </w:rPr>
        <w:t xml:space="preserve"> та</w:t>
      </w:r>
      <w:r w:rsidR="004C1128" w:rsidRPr="00E87CD9">
        <w:rPr>
          <w:rFonts w:ascii="Times New Roman" w:hAnsi="Times New Roman" w:cs="Times New Roman"/>
          <w:bCs/>
          <w:color w:val="auto"/>
          <w:sz w:val="28"/>
          <w:szCs w:val="28"/>
          <w:lang w:val="uk-UA"/>
        </w:rPr>
        <w:t xml:space="preserve">СРП за самостійного застосування та комбінованого використання з </w:t>
      </w:r>
      <w:r w:rsidR="004C1128" w:rsidRPr="00E87CD9">
        <w:rPr>
          <w:rStyle w:val="Default20Paragraph20Font"/>
          <w:rFonts w:ascii="Times New Roman" w:eastAsia="Calibri" w:hAnsi="Times New Roman" w:cs="Times New Roman"/>
          <w:bCs/>
          <w:iCs/>
          <w:color w:val="auto"/>
          <w:sz w:val="28"/>
          <w:szCs w:val="28"/>
          <w:lang w:val="uk-UA"/>
        </w:rPr>
        <w:t xml:space="preserve">L-тироксином </w:t>
      </w:r>
      <w:r w:rsidR="004C1128" w:rsidRPr="00E87CD9">
        <w:rPr>
          <w:rFonts w:ascii="Times New Roman" w:hAnsi="Times New Roman" w:cs="Times New Roman"/>
          <w:color w:val="auto"/>
          <w:sz w:val="28"/>
          <w:szCs w:val="28"/>
          <w:lang w:val="uk-UA"/>
        </w:rPr>
        <w:t>(Х група) на тлі коморбідної патології</w:t>
      </w:r>
      <w:r w:rsidR="00696429" w:rsidRPr="00E87CD9">
        <w:rPr>
          <w:rFonts w:ascii="Times New Roman" w:hAnsi="Times New Roman" w:cs="Times New Roman"/>
          <w:color w:val="auto"/>
          <w:sz w:val="28"/>
          <w:szCs w:val="28"/>
          <w:lang w:val="uk-UA"/>
        </w:rPr>
        <w:t xml:space="preserve"> (рис. 4)</w:t>
      </w:r>
      <w:r w:rsidR="004C1128" w:rsidRPr="00E87CD9">
        <w:rPr>
          <w:rFonts w:ascii="Times New Roman" w:hAnsi="Times New Roman" w:cs="Times New Roman"/>
          <w:color w:val="auto"/>
          <w:sz w:val="28"/>
          <w:szCs w:val="28"/>
          <w:lang w:val="uk-UA"/>
        </w:rPr>
        <w:t>.</w:t>
      </w:r>
    </w:p>
    <w:p w:rsidR="00D91D2B" w:rsidRPr="00E87CD9" w:rsidRDefault="00D91D2B" w:rsidP="00D91D2B">
      <w:pPr>
        <w:pStyle w:val="WW-1"/>
        <w:spacing w:after="0" w:line="240" w:lineRule="auto"/>
        <w:jc w:val="both"/>
        <w:rPr>
          <w:rFonts w:ascii="Times New Roman" w:hAnsi="Times New Roman" w:cs="Times New Roman"/>
          <w:color w:val="auto"/>
          <w:sz w:val="28"/>
          <w:szCs w:val="28"/>
          <w:lang w:val="uk-UA"/>
        </w:rPr>
      </w:pPr>
      <w:r w:rsidRPr="00E87CD9">
        <w:rPr>
          <w:rFonts w:ascii="Times New Roman" w:hAnsi="Times New Roman" w:cs="Times New Roman"/>
          <w:noProof/>
          <w:color w:val="auto"/>
          <w:sz w:val="28"/>
          <w:szCs w:val="28"/>
          <w:bdr w:val="single" w:sz="4" w:space="0" w:color="A6A6A6" w:themeColor="background1" w:themeShade="A6"/>
          <w:lang w:eastAsia="ru-RU"/>
        </w:rPr>
        <w:drawing>
          <wp:inline distT="0" distB="0" distL="0" distR="0">
            <wp:extent cx="2912533" cy="339471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64A8C" w:rsidRPr="00E87CD9">
        <w:rPr>
          <w:rFonts w:ascii="Times New Roman" w:hAnsi="Times New Roman" w:cs="Times New Roman"/>
          <w:noProof/>
          <w:color w:val="auto"/>
          <w:sz w:val="28"/>
          <w:szCs w:val="28"/>
          <w:lang w:eastAsia="ru-RU"/>
        </w:rPr>
        <w:drawing>
          <wp:inline distT="0" distB="0" distL="0" distR="0">
            <wp:extent cx="2912533" cy="3394710"/>
            <wp:effectExtent l="0" t="0" r="2540" b="1524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5B96" w:rsidRPr="00E87CD9" w:rsidRDefault="00EE5B96" w:rsidP="00464A8C">
      <w:pPr>
        <w:pStyle w:val="WW-"/>
        <w:spacing w:after="0" w:line="240" w:lineRule="auto"/>
        <w:ind w:firstLine="709"/>
        <w:jc w:val="both"/>
        <w:rPr>
          <w:rFonts w:ascii="Times New Roman" w:hAnsi="Times New Roman" w:cs="Times New Roman"/>
          <w:noProof/>
          <w:color w:val="auto"/>
          <w:sz w:val="28"/>
          <w:szCs w:val="28"/>
          <w:lang w:val="uk-UA" w:eastAsia="ru-RU"/>
        </w:rPr>
      </w:pP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t>А</w:t>
      </w: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r>
      <w:r w:rsidRPr="00E87CD9">
        <w:rPr>
          <w:rFonts w:ascii="Times New Roman" w:hAnsi="Times New Roman" w:cs="Times New Roman"/>
          <w:noProof/>
          <w:color w:val="auto"/>
          <w:sz w:val="28"/>
          <w:szCs w:val="28"/>
          <w:lang w:val="uk-UA" w:eastAsia="ru-RU"/>
        </w:rPr>
        <w:tab/>
        <w:t>Б</w:t>
      </w:r>
      <w:r w:rsidRPr="00E87CD9">
        <w:rPr>
          <w:rFonts w:ascii="Times New Roman" w:hAnsi="Times New Roman" w:cs="Times New Roman"/>
          <w:noProof/>
          <w:color w:val="auto"/>
          <w:sz w:val="28"/>
          <w:szCs w:val="28"/>
          <w:lang w:val="uk-UA" w:eastAsia="ru-RU"/>
        </w:rPr>
        <w:tab/>
      </w:r>
    </w:p>
    <w:p w:rsidR="00464A8C" w:rsidRPr="00E87CD9" w:rsidRDefault="00464A8C" w:rsidP="00464A8C">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noProof/>
          <w:color w:val="auto"/>
          <w:sz w:val="28"/>
          <w:szCs w:val="28"/>
          <w:lang w:val="uk-UA" w:eastAsia="ru-RU"/>
        </w:rPr>
        <w:t xml:space="preserve">Рис. 4. Зміни рівнів лабораторних показників у сироватці крові щурів груп дослідження </w:t>
      </w:r>
      <w:r w:rsidR="00EE5B96" w:rsidRPr="00E87CD9">
        <w:rPr>
          <w:rFonts w:ascii="Times New Roman" w:hAnsi="Times New Roman" w:cs="Times New Roman"/>
          <w:noProof/>
          <w:color w:val="auto"/>
          <w:sz w:val="28"/>
          <w:szCs w:val="28"/>
          <w:lang w:val="uk-UA" w:eastAsia="ru-RU"/>
        </w:rPr>
        <w:t xml:space="preserve">без (А) або </w:t>
      </w:r>
      <w:r w:rsidRPr="00E87CD9">
        <w:rPr>
          <w:rFonts w:ascii="Times New Roman" w:hAnsi="Times New Roman" w:cs="Times New Roman"/>
          <w:noProof/>
          <w:color w:val="auto"/>
          <w:sz w:val="28"/>
          <w:szCs w:val="28"/>
          <w:lang w:val="uk-UA" w:eastAsia="ru-RU"/>
        </w:rPr>
        <w:t xml:space="preserve">на тлі терапії L-тироксином </w:t>
      </w:r>
      <w:r w:rsidR="00EE5B96" w:rsidRPr="00E87CD9">
        <w:rPr>
          <w:rFonts w:ascii="Times New Roman" w:hAnsi="Times New Roman" w:cs="Times New Roman"/>
          <w:noProof/>
          <w:color w:val="auto"/>
          <w:sz w:val="28"/>
          <w:szCs w:val="28"/>
          <w:lang w:val="uk-UA" w:eastAsia="ru-RU"/>
        </w:rPr>
        <w:t xml:space="preserve">(Б) </w:t>
      </w:r>
      <w:r w:rsidRPr="00E87CD9">
        <w:rPr>
          <w:rFonts w:ascii="Times New Roman" w:hAnsi="Times New Roman" w:cs="Times New Roman"/>
          <w:noProof/>
          <w:color w:val="auto"/>
          <w:sz w:val="28"/>
          <w:szCs w:val="28"/>
          <w:lang w:val="uk-UA" w:eastAsia="ru-RU"/>
        </w:rPr>
        <w:t>на 47 добу експерименту (%</w:t>
      </w:r>
      <w:r w:rsidRPr="00E87CD9">
        <w:rPr>
          <w:rFonts w:ascii="Times New Roman" w:hAnsi="Times New Roman" w:cs="Times New Roman"/>
          <w:color w:val="auto"/>
          <w:sz w:val="28"/>
          <w:szCs w:val="28"/>
          <w:lang w:val="uk-UA"/>
        </w:rPr>
        <w:t xml:space="preserve"> змін показника відносно 42 доби).</w:t>
      </w:r>
    </w:p>
    <w:p w:rsidR="00464A8C" w:rsidRPr="00E87CD9" w:rsidRDefault="00464A8C" w:rsidP="00464A8C">
      <w:pPr>
        <w:ind w:firstLine="709"/>
        <w:jc w:val="both"/>
        <w:rPr>
          <w:color w:val="auto"/>
          <w:sz w:val="28"/>
          <w:szCs w:val="28"/>
          <w:lang w:eastAsia="ru-RU"/>
        </w:rPr>
      </w:pPr>
      <w:r w:rsidRPr="00E87CD9">
        <w:rPr>
          <w:color w:val="auto"/>
          <w:sz w:val="28"/>
          <w:szCs w:val="28"/>
        </w:rPr>
        <w:t xml:space="preserve">Примітка. * - </w:t>
      </w:r>
      <w:r w:rsidRPr="00E87CD9">
        <w:rPr>
          <w:color w:val="auto"/>
          <w:sz w:val="28"/>
          <w:szCs w:val="28"/>
          <w:lang w:eastAsia="ru-RU"/>
        </w:rPr>
        <w:t>р</w:t>
      </w:r>
      <w:r w:rsidRPr="00E87CD9">
        <w:rPr>
          <w:rFonts w:eastAsia="Calibri"/>
          <w:iCs/>
          <w:color w:val="auto"/>
          <w:sz w:val="28"/>
          <w:szCs w:val="28"/>
        </w:rPr>
        <w:t>&gt;</w:t>
      </w:r>
      <w:r w:rsidRPr="00E87CD9">
        <w:rPr>
          <w:color w:val="auto"/>
          <w:sz w:val="28"/>
          <w:szCs w:val="28"/>
          <w:lang w:eastAsia="ru-RU"/>
        </w:rPr>
        <w:t>0,05; в інших випадках – р</w:t>
      </w:r>
      <w:r w:rsidRPr="00E87CD9">
        <w:rPr>
          <w:rFonts w:eastAsia="Calibri"/>
          <w:iCs/>
          <w:color w:val="auto"/>
          <w:sz w:val="28"/>
          <w:szCs w:val="28"/>
        </w:rPr>
        <w:t>&lt;</w:t>
      </w:r>
      <w:r w:rsidRPr="00E87CD9">
        <w:rPr>
          <w:color w:val="auto"/>
          <w:sz w:val="28"/>
          <w:szCs w:val="28"/>
          <w:lang w:eastAsia="ru-RU"/>
        </w:rPr>
        <w:t>0,05 по відношенню до показників 42 доби у відповідній групі.</w:t>
      </w:r>
    </w:p>
    <w:p w:rsidR="005C3D68" w:rsidRPr="00E87CD9" w:rsidRDefault="005C3D68" w:rsidP="00417DC7">
      <w:pPr>
        <w:pStyle w:val="WW-"/>
        <w:spacing w:after="0" w:line="240" w:lineRule="auto"/>
        <w:ind w:firstLine="709"/>
        <w:jc w:val="both"/>
        <w:rPr>
          <w:rFonts w:ascii="Times New Roman" w:hAnsi="Times New Roman" w:cs="Times New Roman"/>
          <w:color w:val="auto"/>
          <w:sz w:val="28"/>
          <w:szCs w:val="28"/>
          <w:lang w:val="uk-UA"/>
        </w:rPr>
      </w:pPr>
    </w:p>
    <w:p w:rsidR="00417DC7" w:rsidRPr="00E87CD9" w:rsidRDefault="004C1128" w:rsidP="00417DC7">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З</w:t>
      </w:r>
      <w:r w:rsidR="00417DC7" w:rsidRPr="00E87CD9">
        <w:rPr>
          <w:rFonts w:ascii="Times New Roman" w:hAnsi="Times New Roman" w:cs="Times New Roman"/>
          <w:bCs/>
          <w:color w:val="auto"/>
          <w:sz w:val="28"/>
          <w:szCs w:val="28"/>
          <w:lang w:val="uk-UA"/>
        </w:rPr>
        <w:t>а інтенсивністю впливу на дегенеративно-дистрофічні процеси у кістковій тканині</w:t>
      </w:r>
      <w:r w:rsidR="00B5388E" w:rsidRPr="00E87CD9">
        <w:rPr>
          <w:rFonts w:ascii="Times New Roman" w:hAnsi="Times New Roman" w:cs="Times New Roman"/>
          <w:bCs/>
          <w:color w:val="auto"/>
          <w:sz w:val="28"/>
          <w:szCs w:val="28"/>
          <w:lang w:val="uk-UA"/>
        </w:rPr>
        <w:t>, що визначало</w:t>
      </w:r>
      <w:r w:rsidRPr="00E87CD9">
        <w:rPr>
          <w:rFonts w:ascii="Times New Roman" w:hAnsi="Times New Roman" w:cs="Times New Roman"/>
          <w:bCs/>
          <w:color w:val="auto"/>
          <w:sz w:val="28"/>
          <w:szCs w:val="28"/>
          <w:lang w:val="uk-UA"/>
        </w:rPr>
        <w:t>ся</w:t>
      </w:r>
      <w:r w:rsidR="00417DC7" w:rsidRPr="00E87CD9">
        <w:rPr>
          <w:rFonts w:ascii="Times New Roman" w:hAnsi="Times New Roman" w:cs="Times New Roman"/>
          <w:bCs/>
          <w:color w:val="auto"/>
          <w:sz w:val="28"/>
          <w:szCs w:val="28"/>
          <w:lang w:val="uk-UA"/>
        </w:rPr>
        <w:t xml:space="preserve"> за рівнем маркеру розпаду колагену </w:t>
      </w:r>
      <w:r w:rsidR="00417DC7" w:rsidRPr="00E87CD9">
        <w:rPr>
          <w:rFonts w:ascii="Times New Roman" w:hAnsi="Times New Roman" w:cs="Times New Roman"/>
          <w:color w:val="auto"/>
          <w:sz w:val="28"/>
          <w:szCs w:val="28"/>
          <w:lang w:val="uk-UA"/>
        </w:rPr>
        <w:t>I</w:t>
      </w:r>
      <w:r w:rsidR="00417DC7" w:rsidRPr="00E87CD9">
        <w:rPr>
          <w:rFonts w:ascii="Times New Roman" w:hAnsi="Times New Roman" w:cs="Times New Roman"/>
          <w:bCs/>
          <w:color w:val="auto"/>
          <w:sz w:val="28"/>
          <w:szCs w:val="28"/>
          <w:lang w:val="uk-UA"/>
        </w:rPr>
        <w:t xml:space="preserve"> типу (</w:t>
      </w:r>
      <w:r w:rsidR="00417DC7" w:rsidRPr="00E87CD9">
        <w:rPr>
          <w:rFonts w:ascii="Times New Roman" w:hAnsi="Times New Roman" w:cs="Times New Roman"/>
          <w:color w:val="auto"/>
          <w:sz w:val="28"/>
          <w:szCs w:val="28"/>
          <w:lang w:val="uk-UA"/>
        </w:rPr>
        <w:t>СТХ I) у сироватці крові щурів</w:t>
      </w:r>
      <w:r w:rsidRPr="00E87CD9">
        <w:rPr>
          <w:rFonts w:ascii="Times New Roman" w:hAnsi="Times New Roman" w:cs="Times New Roman"/>
          <w:color w:val="auto"/>
          <w:sz w:val="28"/>
          <w:szCs w:val="28"/>
          <w:lang w:val="uk-UA"/>
        </w:rPr>
        <w:t>,</w:t>
      </w:r>
      <w:r w:rsidR="00417DC7" w:rsidRPr="00E87CD9">
        <w:rPr>
          <w:rFonts w:ascii="Times New Roman" w:hAnsi="Times New Roman" w:cs="Times New Roman"/>
          <w:bCs/>
          <w:color w:val="auto"/>
          <w:sz w:val="28"/>
          <w:szCs w:val="28"/>
          <w:lang w:val="uk-UA"/>
        </w:rPr>
        <w:t xml:space="preserve">досліджені препарати </w:t>
      </w:r>
      <w:r w:rsidR="00417DC7" w:rsidRPr="00E87CD9">
        <w:rPr>
          <w:rFonts w:ascii="Times New Roman" w:hAnsi="Times New Roman" w:cs="Times New Roman"/>
          <w:color w:val="auto"/>
          <w:sz w:val="28"/>
          <w:szCs w:val="28"/>
          <w:lang w:val="uk-UA"/>
        </w:rPr>
        <w:t xml:space="preserve">розташувались </w:t>
      </w:r>
      <w:r w:rsidR="00417DC7" w:rsidRPr="00E87CD9">
        <w:rPr>
          <w:rFonts w:ascii="Times New Roman" w:hAnsi="Times New Roman" w:cs="Times New Roman"/>
          <w:bCs/>
          <w:color w:val="auto"/>
          <w:sz w:val="28"/>
          <w:szCs w:val="28"/>
          <w:lang w:val="uk-UA"/>
        </w:rPr>
        <w:t>наступним чином: диклофенак натрію &gt; ібупрофен &gt; німесулід = мелоксикам &gt; целекоксиб &gt; парацетамол</w:t>
      </w:r>
      <w:r w:rsidR="00AB0312" w:rsidRPr="00E87CD9">
        <w:rPr>
          <w:rFonts w:ascii="Times New Roman" w:hAnsi="Times New Roman" w:cs="Times New Roman"/>
          <w:color w:val="auto"/>
          <w:sz w:val="28"/>
          <w:szCs w:val="28"/>
          <w:lang w:val="uk-UA"/>
        </w:rPr>
        <w:t>(р&lt;0,05)</w:t>
      </w:r>
      <w:r w:rsidRPr="00E87CD9">
        <w:rPr>
          <w:rFonts w:ascii="Times New Roman" w:hAnsi="Times New Roman" w:cs="Times New Roman"/>
          <w:bCs/>
          <w:color w:val="auto"/>
          <w:sz w:val="28"/>
          <w:szCs w:val="28"/>
          <w:lang w:val="uk-UA"/>
        </w:rPr>
        <w:t xml:space="preserve">, а за рівнем колагену </w:t>
      </w:r>
      <w:r w:rsidRPr="00E87CD9">
        <w:rPr>
          <w:rFonts w:ascii="Times New Roman" w:hAnsi="Times New Roman" w:cs="Times New Roman"/>
          <w:color w:val="auto"/>
          <w:sz w:val="28"/>
          <w:szCs w:val="28"/>
          <w:lang w:val="uk-UA"/>
        </w:rPr>
        <w:t>IІ</w:t>
      </w:r>
      <w:r w:rsidRPr="00E87CD9">
        <w:rPr>
          <w:rFonts w:ascii="Times New Roman" w:hAnsi="Times New Roman" w:cs="Times New Roman"/>
          <w:bCs/>
          <w:color w:val="auto"/>
          <w:sz w:val="28"/>
          <w:szCs w:val="28"/>
          <w:lang w:val="uk-UA"/>
        </w:rPr>
        <w:t xml:space="preserve"> типу (</w:t>
      </w:r>
      <w:r w:rsidRPr="00E87CD9">
        <w:rPr>
          <w:rFonts w:ascii="Times New Roman" w:hAnsi="Times New Roman" w:cs="Times New Roman"/>
          <w:color w:val="auto"/>
          <w:sz w:val="28"/>
          <w:szCs w:val="28"/>
          <w:lang w:val="uk-UA"/>
        </w:rPr>
        <w:t>СТХ IІ) – німесулід &gt; целекоксиб &gt; мелоксикам &gt; ібупрофен &gt; диклофенак натрію &gt; парацетамол</w:t>
      </w:r>
      <w:r w:rsidR="00AB0312" w:rsidRPr="00E87CD9">
        <w:rPr>
          <w:rFonts w:ascii="Times New Roman" w:hAnsi="Times New Roman" w:cs="Times New Roman"/>
          <w:color w:val="auto"/>
          <w:sz w:val="28"/>
          <w:szCs w:val="28"/>
          <w:lang w:val="uk-UA"/>
        </w:rPr>
        <w:t xml:space="preserve"> (р&lt;0,05)</w:t>
      </w:r>
      <w:r w:rsidRPr="00E87CD9">
        <w:rPr>
          <w:rFonts w:ascii="Times New Roman" w:hAnsi="Times New Roman" w:cs="Times New Roman"/>
          <w:color w:val="auto"/>
          <w:sz w:val="28"/>
          <w:szCs w:val="28"/>
          <w:lang w:val="uk-UA"/>
        </w:rPr>
        <w:t>.</w:t>
      </w:r>
    </w:p>
    <w:p w:rsidR="00417DC7" w:rsidRPr="00E87CD9" w:rsidRDefault="00417DC7" w:rsidP="00B81CDA">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Аналіз результатів </w:t>
      </w:r>
      <w:r w:rsidR="004C1128" w:rsidRPr="00E87CD9">
        <w:rPr>
          <w:rFonts w:ascii="Times New Roman" w:hAnsi="Times New Roman" w:cs="Times New Roman"/>
          <w:color w:val="auto"/>
          <w:sz w:val="28"/>
          <w:szCs w:val="28"/>
          <w:lang w:val="uk-UA"/>
        </w:rPr>
        <w:t>щодо</w:t>
      </w:r>
      <w:r w:rsidRPr="00E87CD9">
        <w:rPr>
          <w:rFonts w:ascii="Times New Roman" w:hAnsi="Times New Roman" w:cs="Times New Roman"/>
          <w:bCs/>
          <w:color w:val="auto"/>
          <w:sz w:val="28"/>
          <w:szCs w:val="28"/>
          <w:lang w:val="uk-UA"/>
        </w:rPr>
        <w:t xml:space="preserve"> ступен</w:t>
      </w:r>
      <w:r w:rsidR="004C1128" w:rsidRPr="00E87CD9">
        <w:rPr>
          <w:rFonts w:ascii="Times New Roman" w:hAnsi="Times New Roman" w:cs="Times New Roman"/>
          <w:bCs/>
          <w:color w:val="auto"/>
          <w:sz w:val="28"/>
          <w:szCs w:val="28"/>
          <w:lang w:val="uk-UA"/>
        </w:rPr>
        <w:t>я</w:t>
      </w:r>
      <w:r w:rsidRPr="00E87CD9">
        <w:rPr>
          <w:rFonts w:ascii="Times New Roman" w:hAnsi="Times New Roman" w:cs="Times New Roman"/>
          <w:bCs/>
          <w:color w:val="auto"/>
          <w:sz w:val="28"/>
          <w:szCs w:val="28"/>
          <w:lang w:val="uk-UA"/>
        </w:rPr>
        <w:t xml:space="preserve"> впливу на активність остеобластів у кістковій тканині, </w:t>
      </w:r>
      <w:r w:rsidR="004C1128" w:rsidRPr="00E87CD9">
        <w:rPr>
          <w:rFonts w:ascii="Times New Roman" w:hAnsi="Times New Roman" w:cs="Times New Roman"/>
          <w:bCs/>
          <w:color w:val="auto"/>
          <w:sz w:val="28"/>
          <w:szCs w:val="28"/>
          <w:lang w:val="uk-UA"/>
        </w:rPr>
        <w:t xml:space="preserve">що </w:t>
      </w:r>
      <w:r w:rsidRPr="00E87CD9">
        <w:rPr>
          <w:rFonts w:ascii="Times New Roman" w:hAnsi="Times New Roman" w:cs="Times New Roman"/>
          <w:bCs/>
          <w:color w:val="auto"/>
          <w:sz w:val="28"/>
          <w:szCs w:val="28"/>
          <w:lang w:val="uk-UA"/>
        </w:rPr>
        <w:t>оцінені за рівнем кісткової лужної фосфатази (КЛФ)</w:t>
      </w:r>
      <w:r w:rsidRPr="00E87CD9">
        <w:rPr>
          <w:rFonts w:ascii="Times New Roman" w:hAnsi="Times New Roman" w:cs="Times New Roman"/>
          <w:color w:val="auto"/>
          <w:sz w:val="28"/>
          <w:szCs w:val="28"/>
          <w:lang w:val="uk-UA"/>
        </w:rPr>
        <w:t xml:space="preserve"> у сироватці крові щурів</w:t>
      </w:r>
      <w:r w:rsidR="004C1128" w:rsidRPr="00E87CD9">
        <w:rPr>
          <w:rFonts w:ascii="Times New Roman" w:hAnsi="Times New Roman" w:cs="Times New Roman"/>
          <w:color w:val="auto"/>
          <w:sz w:val="28"/>
          <w:szCs w:val="28"/>
          <w:lang w:val="uk-UA"/>
        </w:rPr>
        <w:t xml:space="preserve">, дозволив </w:t>
      </w:r>
      <w:r w:rsidRPr="00E87CD9">
        <w:rPr>
          <w:rFonts w:ascii="Times New Roman" w:hAnsi="Times New Roman" w:cs="Times New Roman"/>
          <w:bCs/>
          <w:color w:val="auto"/>
          <w:sz w:val="28"/>
          <w:szCs w:val="28"/>
          <w:lang w:val="uk-UA"/>
        </w:rPr>
        <w:t>розташува</w:t>
      </w:r>
      <w:r w:rsidR="004C1128" w:rsidRPr="00E87CD9">
        <w:rPr>
          <w:rFonts w:ascii="Times New Roman" w:hAnsi="Times New Roman" w:cs="Times New Roman"/>
          <w:bCs/>
          <w:color w:val="auto"/>
          <w:sz w:val="28"/>
          <w:szCs w:val="28"/>
          <w:lang w:val="uk-UA"/>
        </w:rPr>
        <w:t>ти препарат</w:t>
      </w:r>
      <w:r w:rsidRPr="00E87CD9">
        <w:rPr>
          <w:rFonts w:ascii="Times New Roman" w:hAnsi="Times New Roman" w:cs="Times New Roman"/>
          <w:bCs/>
          <w:color w:val="auto"/>
          <w:sz w:val="28"/>
          <w:szCs w:val="28"/>
          <w:lang w:val="uk-UA"/>
        </w:rPr>
        <w:t xml:space="preserve">и наступним чином: диклофенак натрію &gt; ібупрофен &gt; мелоксикам &gt; німесулід &gt; целекоксиб </w:t>
      </w:r>
      <w:r w:rsidRPr="00E87CD9">
        <w:rPr>
          <w:rFonts w:ascii="Times New Roman" w:hAnsi="Times New Roman" w:cs="Times New Roman"/>
          <w:bCs/>
          <w:color w:val="auto"/>
          <w:sz w:val="28"/>
          <w:szCs w:val="28"/>
          <w:lang w:val="uk-UA"/>
        </w:rPr>
        <w:lastRenderedPageBreak/>
        <w:t>&gt;парацетамол.</w:t>
      </w:r>
      <w:r w:rsidR="00336ABC" w:rsidRPr="00E87CD9">
        <w:rPr>
          <w:rFonts w:ascii="Times New Roman" w:hAnsi="Times New Roman" w:cs="Times New Roman"/>
          <w:bCs/>
          <w:color w:val="auto"/>
          <w:sz w:val="28"/>
          <w:szCs w:val="28"/>
          <w:lang w:val="uk-UA"/>
        </w:rPr>
        <w:t>При цьому лише у групах з призначенням парацетамолу (ІХ і Х) зниження р</w:t>
      </w:r>
      <w:r w:rsidR="004C1128" w:rsidRPr="00E87CD9">
        <w:rPr>
          <w:rFonts w:ascii="Times New Roman" w:hAnsi="Times New Roman" w:cs="Times New Roman"/>
          <w:color w:val="auto"/>
          <w:sz w:val="28"/>
          <w:szCs w:val="28"/>
          <w:lang w:val="uk-UA"/>
        </w:rPr>
        <w:t>івня КЛФ</w:t>
      </w:r>
      <w:r w:rsidR="00696429" w:rsidRPr="00E87CD9">
        <w:rPr>
          <w:rFonts w:ascii="Times New Roman" w:hAnsi="Times New Roman" w:cs="Times New Roman"/>
          <w:color w:val="auto"/>
          <w:sz w:val="28"/>
          <w:szCs w:val="28"/>
          <w:lang w:val="uk-UA"/>
        </w:rPr>
        <w:t>мало характер тенденції</w:t>
      </w:r>
      <w:r w:rsidR="00336ABC" w:rsidRPr="00E87CD9">
        <w:rPr>
          <w:rFonts w:ascii="Times New Roman" w:hAnsi="Times New Roman" w:cs="Times New Roman"/>
          <w:color w:val="auto"/>
          <w:sz w:val="28"/>
          <w:szCs w:val="28"/>
          <w:lang w:val="uk-UA"/>
        </w:rPr>
        <w:t xml:space="preserve"> (р&gt;0,05).</w:t>
      </w:r>
    </w:p>
    <w:p w:rsidR="00417DC7" w:rsidRPr="00E87CD9" w:rsidRDefault="00417DC7" w:rsidP="00417DC7">
      <w:pPr>
        <w:ind w:firstLine="709"/>
        <w:jc w:val="both"/>
        <w:rPr>
          <w:color w:val="auto"/>
          <w:kern w:val="2"/>
          <w:sz w:val="28"/>
          <w:szCs w:val="28"/>
          <w:lang w:eastAsia="uk-UA" w:bidi="hi-IN"/>
        </w:rPr>
      </w:pPr>
      <w:r w:rsidRPr="00E87CD9">
        <w:rPr>
          <w:color w:val="auto"/>
          <w:kern w:val="2"/>
          <w:sz w:val="28"/>
          <w:szCs w:val="28"/>
          <w:lang w:eastAsia="uk-UA" w:bidi="hi-IN"/>
        </w:rPr>
        <w:t>Таким чином, проведені дослідження дозволили оцін</w:t>
      </w:r>
      <w:r w:rsidR="00B81CDA" w:rsidRPr="00E87CD9">
        <w:rPr>
          <w:color w:val="auto"/>
          <w:kern w:val="2"/>
          <w:sz w:val="28"/>
          <w:szCs w:val="28"/>
          <w:lang w:eastAsia="uk-UA" w:bidi="hi-IN"/>
        </w:rPr>
        <w:t>и</w:t>
      </w:r>
      <w:r w:rsidRPr="00E87CD9">
        <w:rPr>
          <w:color w:val="auto"/>
          <w:kern w:val="2"/>
          <w:sz w:val="28"/>
          <w:szCs w:val="28"/>
          <w:lang w:eastAsia="uk-UA" w:bidi="hi-IN"/>
        </w:rPr>
        <w:t>ти НПЗЗ та парацетамол за рівнем протизапальної активності і впливом на дегенеративно-дистрофічні процеси у кістковій та хрящовій тканині та визначити препарат-лідер – диклофенак натрію.</w:t>
      </w:r>
    </w:p>
    <w:p w:rsidR="00417DC7" w:rsidRPr="00E87CD9" w:rsidRDefault="00417DC7" w:rsidP="00696429">
      <w:pPr>
        <w:spacing w:before="120"/>
        <w:ind w:firstLine="709"/>
        <w:jc w:val="both"/>
        <w:rPr>
          <w:bCs/>
          <w:i/>
          <w:color w:val="auto"/>
          <w:sz w:val="28"/>
          <w:szCs w:val="28"/>
        </w:rPr>
      </w:pPr>
      <w:r w:rsidRPr="00E87CD9">
        <w:rPr>
          <w:bCs/>
          <w:i/>
          <w:color w:val="auto"/>
          <w:sz w:val="28"/>
          <w:szCs w:val="28"/>
        </w:rPr>
        <w:t>Вплив НПЗЗ та парацетамолу на функціональний стан щитоподібної залози.</w:t>
      </w:r>
    </w:p>
    <w:p w:rsidR="00417DC7" w:rsidRPr="00E87CD9" w:rsidRDefault="00417DC7" w:rsidP="00417DC7">
      <w:pPr>
        <w:ind w:firstLine="709"/>
        <w:jc w:val="both"/>
        <w:rPr>
          <w:color w:val="auto"/>
          <w:sz w:val="28"/>
          <w:szCs w:val="28"/>
        </w:rPr>
      </w:pPr>
      <w:r w:rsidRPr="00E87CD9">
        <w:rPr>
          <w:color w:val="auto"/>
          <w:sz w:val="28"/>
          <w:szCs w:val="28"/>
        </w:rPr>
        <w:t xml:space="preserve">Відомо, що ЛЗ можуть впливати на гормональну активність ЩЗ через безпосередній вплив на синтез та </w:t>
      </w:r>
      <w:r w:rsidRPr="00E87CD9">
        <w:rPr>
          <w:color w:val="auto"/>
          <w:kern w:val="28"/>
          <w:sz w:val="28"/>
          <w:szCs w:val="28"/>
        </w:rPr>
        <w:t>виділення гормонів, їх метаболізм, кліренс та поглинання тканинами. Дане</w:t>
      </w:r>
      <w:r w:rsidRPr="00E87CD9">
        <w:rPr>
          <w:color w:val="auto"/>
          <w:sz w:val="28"/>
          <w:szCs w:val="28"/>
        </w:rPr>
        <w:t xml:space="preserve"> питання постає внаслідок існування суперечливих досліджень про різний вплив ЛЗ, зокрема НПЗЗ</w:t>
      </w:r>
      <w:r w:rsidR="00E434A5" w:rsidRPr="00E87CD9">
        <w:rPr>
          <w:color w:val="auto"/>
          <w:sz w:val="28"/>
          <w:szCs w:val="28"/>
        </w:rPr>
        <w:t>,</w:t>
      </w:r>
      <w:r w:rsidRPr="00E87CD9">
        <w:rPr>
          <w:color w:val="auto"/>
          <w:sz w:val="28"/>
          <w:szCs w:val="28"/>
        </w:rPr>
        <w:t xml:space="preserve"> на концентрацію гормонів ЩЗ у сироватці крові </w:t>
      </w:r>
      <w:r w:rsidRPr="00E87CD9">
        <w:rPr>
          <w:color w:val="auto"/>
          <w:kern w:val="28"/>
          <w:sz w:val="28"/>
          <w:szCs w:val="28"/>
        </w:rPr>
        <w:t>(</w:t>
      </w:r>
      <w:r w:rsidRPr="00E87CD9">
        <w:rPr>
          <w:rFonts w:eastAsiaTheme="minorHAnsi"/>
          <w:color w:val="auto"/>
          <w:sz w:val="28"/>
          <w:szCs w:val="28"/>
        </w:rPr>
        <w:t xml:space="preserve">F. Sauvé et al., 2003; </w:t>
      </w:r>
      <w:r w:rsidRPr="00E87CD9">
        <w:rPr>
          <w:color w:val="auto"/>
          <w:sz w:val="28"/>
          <w:szCs w:val="28"/>
        </w:rPr>
        <w:t xml:space="preserve">Y. Koizumi </w:t>
      </w:r>
      <w:r w:rsidRPr="00E87CD9">
        <w:rPr>
          <w:rFonts w:eastAsiaTheme="minorHAnsi"/>
          <w:color w:val="auto"/>
          <w:sz w:val="28"/>
          <w:szCs w:val="28"/>
        </w:rPr>
        <w:t xml:space="preserve">et al., </w:t>
      </w:r>
      <w:r w:rsidRPr="00E87CD9">
        <w:rPr>
          <w:color w:val="auto"/>
          <w:sz w:val="28"/>
          <w:szCs w:val="28"/>
        </w:rPr>
        <w:t xml:space="preserve">2006; D.L. Panciera </w:t>
      </w:r>
      <w:r w:rsidRPr="00E87CD9">
        <w:rPr>
          <w:rFonts w:eastAsiaTheme="minorHAnsi"/>
          <w:color w:val="auto"/>
          <w:sz w:val="28"/>
          <w:szCs w:val="28"/>
        </w:rPr>
        <w:t xml:space="preserve">et al., </w:t>
      </w:r>
      <w:r w:rsidRPr="00E87CD9">
        <w:rPr>
          <w:color w:val="auto"/>
          <w:sz w:val="28"/>
          <w:szCs w:val="28"/>
        </w:rPr>
        <w:t>2006</w:t>
      </w:r>
      <w:r w:rsidRPr="00E87CD9">
        <w:rPr>
          <w:color w:val="auto"/>
          <w:kern w:val="28"/>
          <w:sz w:val="28"/>
          <w:szCs w:val="28"/>
        </w:rPr>
        <w:t>)</w:t>
      </w:r>
      <w:r w:rsidRPr="00E87CD9">
        <w:rPr>
          <w:color w:val="auto"/>
          <w:sz w:val="28"/>
          <w:szCs w:val="28"/>
        </w:rPr>
        <w:t>.</w:t>
      </w:r>
    </w:p>
    <w:p w:rsidR="00417DC7" w:rsidRPr="003E2AD3" w:rsidRDefault="00417DC7" w:rsidP="00417DC7">
      <w:pPr>
        <w:ind w:firstLine="709"/>
        <w:jc w:val="both"/>
        <w:rPr>
          <w:color w:val="auto"/>
          <w:sz w:val="28"/>
          <w:szCs w:val="28"/>
        </w:rPr>
      </w:pPr>
      <w:r w:rsidRPr="003E2AD3">
        <w:rPr>
          <w:color w:val="auto"/>
          <w:sz w:val="28"/>
          <w:szCs w:val="28"/>
        </w:rPr>
        <w:t xml:space="preserve">Для всебічного вирішення </w:t>
      </w:r>
      <w:r w:rsidR="00E434A5" w:rsidRPr="003E2AD3">
        <w:rPr>
          <w:color w:val="auto"/>
          <w:sz w:val="28"/>
          <w:szCs w:val="28"/>
        </w:rPr>
        <w:t>зазначених суперечностей щ</w:t>
      </w:r>
      <w:r w:rsidRPr="003E2AD3">
        <w:rPr>
          <w:color w:val="auto"/>
          <w:sz w:val="28"/>
          <w:szCs w:val="28"/>
        </w:rPr>
        <w:t>о</w:t>
      </w:r>
      <w:r w:rsidR="00E434A5" w:rsidRPr="003E2AD3">
        <w:rPr>
          <w:color w:val="auto"/>
          <w:sz w:val="28"/>
          <w:szCs w:val="28"/>
        </w:rPr>
        <w:t>до</w:t>
      </w:r>
      <w:r w:rsidRPr="003E2AD3">
        <w:rPr>
          <w:color w:val="auto"/>
          <w:sz w:val="28"/>
          <w:szCs w:val="28"/>
        </w:rPr>
        <w:t xml:space="preserve"> вплив</w:t>
      </w:r>
      <w:r w:rsidR="00E434A5" w:rsidRPr="003E2AD3">
        <w:rPr>
          <w:color w:val="auto"/>
          <w:sz w:val="28"/>
          <w:szCs w:val="28"/>
        </w:rPr>
        <w:t>у</w:t>
      </w:r>
      <w:r w:rsidRPr="003E2AD3">
        <w:rPr>
          <w:color w:val="auto"/>
          <w:sz w:val="28"/>
          <w:szCs w:val="28"/>
        </w:rPr>
        <w:t xml:space="preserve"> НПЗЗ та парацетамолу на функціональний стан ЩЗ, який визначали за рівнем гормонів ТТГ, Т3 та Т4, кожний з досліджуваних препаратів вводили </w:t>
      </w:r>
      <w:r w:rsidR="00E434A5" w:rsidRPr="003E2AD3">
        <w:rPr>
          <w:color w:val="auto"/>
          <w:sz w:val="28"/>
          <w:szCs w:val="28"/>
        </w:rPr>
        <w:t>у</w:t>
      </w:r>
      <w:r w:rsidRPr="003E2AD3">
        <w:rPr>
          <w:color w:val="auto"/>
          <w:sz w:val="28"/>
          <w:szCs w:val="28"/>
        </w:rPr>
        <w:t xml:space="preserve"> двох дозах. Перша група доз – такі, що були використані на попередніх етапах дослідження та відповідали середнім ефективним дозам за аналгетичною активністю, і були запозичені з літератури та неодноразово використовувались при проведенні доклінічних досліджень. Друга група доз була визначена шляхом </w:t>
      </w:r>
      <w:r w:rsidR="00E434A5" w:rsidRPr="003E2AD3">
        <w:rPr>
          <w:color w:val="auto"/>
          <w:sz w:val="28"/>
          <w:szCs w:val="28"/>
        </w:rPr>
        <w:t>екстраполяції</w:t>
      </w:r>
      <w:r w:rsidRPr="003E2AD3">
        <w:rPr>
          <w:color w:val="auto"/>
          <w:sz w:val="28"/>
          <w:szCs w:val="28"/>
        </w:rPr>
        <w:t xml:space="preserve"> доз людини на щурів із використанням коефіцієнту видової чутливості (Ю.Р. Рыболовлев, Р.С. Рыболовлев, 1979).</w:t>
      </w:r>
    </w:p>
    <w:p w:rsidR="00417DC7" w:rsidRPr="003E2AD3" w:rsidRDefault="00417DC7" w:rsidP="00417DC7">
      <w:pPr>
        <w:pStyle w:val="WW-1"/>
        <w:spacing w:after="0" w:line="240" w:lineRule="auto"/>
        <w:ind w:firstLine="709"/>
        <w:jc w:val="both"/>
        <w:rPr>
          <w:rFonts w:ascii="Times New Roman" w:hAnsi="Times New Roman" w:cs="Times New Roman"/>
          <w:color w:val="auto"/>
          <w:sz w:val="28"/>
          <w:szCs w:val="28"/>
          <w:lang w:val="uk-UA"/>
        </w:rPr>
      </w:pPr>
      <w:r w:rsidRPr="003E2AD3">
        <w:rPr>
          <w:rFonts w:ascii="Times New Roman" w:hAnsi="Times New Roman" w:cs="Times New Roman"/>
          <w:color w:val="auto"/>
          <w:sz w:val="28"/>
          <w:szCs w:val="28"/>
          <w:lang w:val="uk-UA"/>
        </w:rPr>
        <w:t xml:space="preserve">Як показали дослідження, після 5-добового введення ЛЗ (диклофенаку натрію, ібупрофену, мелоксикаму, парацетамолу, німесуліду та целекоксибу) (47 доба) у </w:t>
      </w:r>
      <w:r w:rsidR="00E87CD9" w:rsidRPr="003E2AD3">
        <w:rPr>
          <w:rFonts w:ascii="Times New Roman" w:hAnsi="Times New Roman" w:cs="Times New Roman"/>
          <w:color w:val="auto"/>
          <w:sz w:val="28"/>
          <w:szCs w:val="28"/>
          <w:lang w:val="uk-UA"/>
        </w:rPr>
        <w:t>середньо ефективних</w:t>
      </w:r>
      <w:r w:rsidRPr="003E2AD3">
        <w:rPr>
          <w:rFonts w:ascii="Times New Roman" w:hAnsi="Times New Roman" w:cs="Times New Roman"/>
          <w:color w:val="auto"/>
          <w:sz w:val="28"/>
          <w:szCs w:val="28"/>
          <w:lang w:val="uk-UA"/>
        </w:rPr>
        <w:t xml:space="preserve"> дозах на фоні сформованих експериментальних патологічних станів </w:t>
      </w:r>
      <w:r w:rsidR="00696429" w:rsidRPr="003E2AD3">
        <w:rPr>
          <w:rFonts w:ascii="Times New Roman" w:hAnsi="Times New Roman" w:cs="Times New Roman"/>
          <w:color w:val="auto"/>
          <w:sz w:val="28"/>
          <w:szCs w:val="28"/>
          <w:lang w:val="uk-UA"/>
        </w:rPr>
        <w:t>статистично значущих</w:t>
      </w:r>
      <w:r w:rsidRPr="003E2AD3">
        <w:rPr>
          <w:rFonts w:ascii="Times New Roman" w:hAnsi="Times New Roman" w:cs="Times New Roman"/>
          <w:color w:val="auto"/>
          <w:sz w:val="28"/>
          <w:szCs w:val="28"/>
          <w:lang w:val="uk-UA"/>
        </w:rPr>
        <w:t xml:space="preserve"> відмінностей за впливом на рівень гормонів ЩЗ у сироватці крові щурів не спостерігалось (р&gt;0,05). На </w:t>
      </w:r>
      <w:r w:rsidR="00E87CD9" w:rsidRPr="003E2AD3">
        <w:rPr>
          <w:rFonts w:ascii="Times New Roman" w:hAnsi="Times New Roman" w:cs="Times New Roman"/>
          <w:color w:val="auto"/>
          <w:sz w:val="28"/>
          <w:szCs w:val="28"/>
          <w:lang w:val="uk-UA"/>
        </w:rPr>
        <w:t>середньо ефективних</w:t>
      </w:r>
      <w:r w:rsidRPr="003E2AD3">
        <w:rPr>
          <w:rFonts w:ascii="Times New Roman" w:hAnsi="Times New Roman" w:cs="Times New Roman"/>
          <w:color w:val="auto"/>
          <w:sz w:val="28"/>
          <w:szCs w:val="28"/>
          <w:lang w:val="uk-UA"/>
        </w:rPr>
        <w:t xml:space="preserve"> дозах визначена лише тенденція до зниження рівня гормонів ЩЗ (Т3 та Т4) та ТТГ, у сироватці крові щурів при внутр</w:t>
      </w:r>
      <w:r w:rsidR="00E434A5" w:rsidRPr="003E2AD3">
        <w:rPr>
          <w:rFonts w:ascii="Times New Roman" w:hAnsi="Times New Roman" w:cs="Times New Roman"/>
          <w:color w:val="auto"/>
          <w:sz w:val="28"/>
          <w:szCs w:val="28"/>
          <w:lang w:val="uk-UA"/>
        </w:rPr>
        <w:t>і</w:t>
      </w:r>
      <w:r w:rsidRPr="003E2AD3">
        <w:rPr>
          <w:rFonts w:ascii="Times New Roman" w:hAnsi="Times New Roman" w:cs="Times New Roman"/>
          <w:color w:val="auto"/>
          <w:sz w:val="28"/>
          <w:szCs w:val="28"/>
          <w:lang w:val="uk-UA"/>
        </w:rPr>
        <w:t>шньошлунковому введенні досліджуваних препаратів (р&gt;0,05).</w:t>
      </w:r>
    </w:p>
    <w:p w:rsidR="00417DC7" w:rsidRPr="003E2AD3" w:rsidRDefault="00696429" w:rsidP="00417DC7">
      <w:pPr>
        <w:pStyle w:val="WW-1"/>
        <w:spacing w:after="0" w:line="240" w:lineRule="auto"/>
        <w:ind w:firstLine="709"/>
        <w:jc w:val="both"/>
        <w:rPr>
          <w:rFonts w:ascii="Times New Roman" w:hAnsi="Times New Roman" w:cs="Times New Roman"/>
          <w:color w:val="auto"/>
          <w:sz w:val="28"/>
          <w:szCs w:val="28"/>
          <w:lang w:val="uk-UA"/>
        </w:rPr>
      </w:pPr>
      <w:r w:rsidRPr="003E2AD3">
        <w:rPr>
          <w:rFonts w:ascii="Times New Roman" w:hAnsi="Times New Roman" w:cs="Times New Roman"/>
          <w:color w:val="auto"/>
          <w:sz w:val="28"/>
          <w:szCs w:val="28"/>
          <w:lang w:val="uk-UA"/>
        </w:rPr>
        <w:t>Подальші</w:t>
      </w:r>
      <w:r w:rsidR="00417DC7" w:rsidRPr="003E2AD3">
        <w:rPr>
          <w:rFonts w:ascii="Times New Roman" w:hAnsi="Times New Roman" w:cs="Times New Roman"/>
          <w:color w:val="auto"/>
          <w:sz w:val="28"/>
          <w:szCs w:val="28"/>
          <w:lang w:val="uk-UA"/>
        </w:rPr>
        <w:t xml:space="preserve"> дослідження показали, що </w:t>
      </w:r>
      <w:r w:rsidR="00E87CD9" w:rsidRPr="003E2AD3">
        <w:rPr>
          <w:rFonts w:ascii="Times New Roman" w:hAnsi="Times New Roman" w:cs="Times New Roman"/>
          <w:color w:val="auto"/>
          <w:sz w:val="28"/>
          <w:szCs w:val="28"/>
          <w:lang w:val="uk-UA"/>
        </w:rPr>
        <w:t>при підвищенні середньо ефективних доз</w:t>
      </w:r>
      <w:r w:rsidR="00417DC7" w:rsidRPr="003E2AD3">
        <w:rPr>
          <w:rFonts w:ascii="Times New Roman" w:hAnsi="Times New Roman" w:cs="Times New Roman"/>
          <w:color w:val="auto"/>
          <w:sz w:val="28"/>
          <w:szCs w:val="28"/>
          <w:lang w:val="uk-UA"/>
        </w:rPr>
        <w:t xml:space="preserve">, </w:t>
      </w:r>
      <w:r w:rsidR="00E434A5" w:rsidRPr="003E2AD3">
        <w:rPr>
          <w:rFonts w:ascii="Times New Roman" w:hAnsi="Times New Roman" w:cs="Times New Roman"/>
          <w:color w:val="auto"/>
          <w:sz w:val="28"/>
          <w:szCs w:val="28"/>
          <w:lang w:val="uk-UA"/>
        </w:rPr>
        <w:t>у</w:t>
      </w:r>
      <w:r w:rsidR="00417DC7" w:rsidRPr="003E2AD3">
        <w:rPr>
          <w:rFonts w:ascii="Times New Roman" w:hAnsi="Times New Roman" w:cs="Times New Roman"/>
          <w:color w:val="auto"/>
          <w:sz w:val="28"/>
          <w:szCs w:val="28"/>
          <w:lang w:val="uk-UA"/>
        </w:rPr>
        <w:t xml:space="preserve"> межах терапевтичного діапазону, отримані різноманітні дані за рівнем впливу на концентрацію ТТГ, Т3 та Т4 у сироватці крові щурів. Так, парацетамол (ІХ група) не впливав на концентрацію гормонів ЩЗ та ТТГ, а диклофенак натрію і целекоксиб </w:t>
      </w:r>
      <w:r w:rsidR="00D60E83" w:rsidRPr="003E2AD3">
        <w:rPr>
          <w:rFonts w:ascii="Times New Roman" w:hAnsi="Times New Roman" w:cs="Times New Roman"/>
          <w:color w:val="auto"/>
          <w:sz w:val="28"/>
          <w:szCs w:val="28"/>
          <w:lang w:val="uk-UA"/>
        </w:rPr>
        <w:t xml:space="preserve">достовірно знижували рівень ТТГ </w:t>
      </w:r>
      <w:r w:rsidR="009D57FF" w:rsidRPr="003E2AD3">
        <w:rPr>
          <w:rFonts w:ascii="Times New Roman" w:hAnsi="Times New Roman" w:cs="Times New Roman"/>
          <w:color w:val="auto"/>
          <w:sz w:val="28"/>
          <w:szCs w:val="28"/>
          <w:lang w:val="uk-UA"/>
        </w:rPr>
        <w:t>у 1,16 та 1,1</w:t>
      </w:r>
      <w:r w:rsidR="00D61BE0" w:rsidRPr="003E2AD3">
        <w:rPr>
          <w:rFonts w:ascii="Times New Roman" w:hAnsi="Times New Roman" w:cs="Times New Roman"/>
          <w:color w:val="auto"/>
          <w:sz w:val="28"/>
          <w:szCs w:val="28"/>
          <w:lang w:val="uk-UA"/>
        </w:rPr>
        <w:t>5</w:t>
      </w:r>
      <w:r w:rsidR="009D57FF" w:rsidRPr="003E2AD3">
        <w:rPr>
          <w:rFonts w:ascii="Times New Roman" w:hAnsi="Times New Roman" w:cs="Times New Roman"/>
          <w:color w:val="auto"/>
          <w:sz w:val="28"/>
          <w:szCs w:val="28"/>
          <w:lang w:val="uk-UA"/>
        </w:rPr>
        <w:t xml:space="preserve"> рази </w:t>
      </w:r>
      <w:r w:rsidR="00AD4B46" w:rsidRPr="003E2AD3">
        <w:rPr>
          <w:rFonts w:ascii="Times New Roman" w:hAnsi="Times New Roman" w:cs="Times New Roman"/>
          <w:color w:val="auto"/>
          <w:sz w:val="28"/>
          <w:szCs w:val="28"/>
          <w:lang w:val="uk-UA"/>
        </w:rPr>
        <w:t>(р</w:t>
      </w:r>
      <w:r w:rsidR="00AD4B46" w:rsidRPr="003E2AD3">
        <w:rPr>
          <w:rFonts w:ascii="Times New Roman" w:eastAsia="Calibri" w:hAnsi="Times New Roman" w:cs="Times New Roman"/>
          <w:iCs/>
          <w:color w:val="auto"/>
          <w:sz w:val="28"/>
          <w:szCs w:val="28"/>
          <w:lang w:val="uk-UA" w:eastAsia="en-US"/>
        </w:rPr>
        <w:t>&lt;</w:t>
      </w:r>
      <w:r w:rsidR="00AD4B46" w:rsidRPr="003E2AD3">
        <w:rPr>
          <w:rFonts w:ascii="Times New Roman" w:hAnsi="Times New Roman" w:cs="Times New Roman"/>
          <w:color w:val="auto"/>
          <w:sz w:val="28"/>
          <w:szCs w:val="28"/>
          <w:lang w:val="uk-UA"/>
        </w:rPr>
        <w:t xml:space="preserve">0,05) </w:t>
      </w:r>
      <w:r w:rsidR="00D60E83" w:rsidRPr="003E2AD3">
        <w:rPr>
          <w:rFonts w:ascii="Times New Roman" w:hAnsi="Times New Roman" w:cs="Times New Roman"/>
          <w:color w:val="auto"/>
          <w:sz w:val="28"/>
          <w:szCs w:val="28"/>
          <w:lang w:val="uk-UA"/>
        </w:rPr>
        <w:t xml:space="preserve">та проявили тенденцію до підвищення рівня Т4 </w:t>
      </w:r>
      <w:r w:rsidRPr="003E2AD3">
        <w:rPr>
          <w:rFonts w:ascii="Times New Roman" w:hAnsi="Times New Roman" w:cs="Times New Roman"/>
          <w:color w:val="auto"/>
          <w:sz w:val="28"/>
          <w:szCs w:val="28"/>
          <w:lang w:val="uk-UA"/>
        </w:rPr>
        <w:t>у сироватці крові щурів у</w:t>
      </w:r>
      <w:r w:rsidR="009D57FF" w:rsidRPr="003E2AD3">
        <w:rPr>
          <w:rFonts w:ascii="Times New Roman" w:hAnsi="Times New Roman" w:cs="Times New Roman"/>
          <w:color w:val="auto"/>
          <w:sz w:val="28"/>
          <w:szCs w:val="28"/>
          <w:lang w:val="uk-UA"/>
        </w:rPr>
        <w:t>1,1 та 1,05 рази</w:t>
      </w:r>
      <w:r w:rsidR="00AD4B46" w:rsidRPr="003E2AD3">
        <w:rPr>
          <w:rFonts w:ascii="Times New Roman" w:hAnsi="Times New Roman" w:cs="Times New Roman"/>
          <w:color w:val="auto"/>
          <w:sz w:val="28"/>
          <w:szCs w:val="28"/>
          <w:lang w:val="uk-UA"/>
        </w:rPr>
        <w:t xml:space="preserve"> (р&gt;0,05)</w:t>
      </w:r>
      <w:r w:rsidR="009D57FF" w:rsidRPr="003E2AD3">
        <w:rPr>
          <w:rFonts w:ascii="Times New Roman" w:hAnsi="Times New Roman" w:cs="Times New Roman"/>
          <w:color w:val="auto"/>
          <w:sz w:val="28"/>
          <w:szCs w:val="28"/>
          <w:lang w:val="uk-UA"/>
        </w:rPr>
        <w:t xml:space="preserve"> відповідно</w:t>
      </w:r>
      <w:r w:rsidRPr="003E2AD3">
        <w:rPr>
          <w:rFonts w:ascii="Times New Roman" w:hAnsi="Times New Roman" w:cs="Times New Roman"/>
          <w:color w:val="auto"/>
          <w:sz w:val="28"/>
          <w:szCs w:val="28"/>
          <w:lang w:val="uk-UA"/>
        </w:rPr>
        <w:t>.</w:t>
      </w:r>
    </w:p>
    <w:p w:rsidR="00417DC7" w:rsidRPr="003E2AD3" w:rsidRDefault="00417DC7" w:rsidP="00417DC7">
      <w:pPr>
        <w:pStyle w:val="WW-1"/>
        <w:spacing w:after="0" w:line="240" w:lineRule="auto"/>
        <w:ind w:firstLine="709"/>
        <w:jc w:val="both"/>
        <w:rPr>
          <w:rFonts w:ascii="Times New Roman" w:hAnsi="Times New Roman" w:cs="Times New Roman"/>
          <w:color w:val="auto"/>
          <w:sz w:val="28"/>
          <w:szCs w:val="28"/>
          <w:lang w:val="uk-UA"/>
        </w:rPr>
      </w:pPr>
      <w:r w:rsidRPr="003E2AD3">
        <w:rPr>
          <w:rFonts w:ascii="Times New Roman" w:hAnsi="Times New Roman" w:cs="Times New Roman"/>
          <w:color w:val="auto"/>
          <w:sz w:val="28"/>
          <w:szCs w:val="28"/>
          <w:lang w:val="uk-UA"/>
        </w:rPr>
        <w:t xml:space="preserve">На підставі аналізу отриманих даних були визначені препарати, які </w:t>
      </w:r>
      <w:r w:rsidR="00EF7C29" w:rsidRPr="003E2AD3">
        <w:rPr>
          <w:rFonts w:ascii="Times New Roman" w:hAnsi="Times New Roman" w:cs="Times New Roman"/>
          <w:color w:val="auto"/>
          <w:sz w:val="28"/>
          <w:szCs w:val="28"/>
          <w:lang w:val="uk-UA"/>
        </w:rPr>
        <w:t xml:space="preserve">істотно </w:t>
      </w:r>
      <w:r w:rsidRPr="003E2AD3">
        <w:rPr>
          <w:rFonts w:ascii="Times New Roman" w:hAnsi="Times New Roman" w:cs="Times New Roman"/>
          <w:color w:val="auto"/>
          <w:sz w:val="28"/>
          <w:szCs w:val="28"/>
          <w:lang w:val="uk-UA"/>
        </w:rPr>
        <w:t>змінювали гормональний фон</w:t>
      </w:r>
      <w:r w:rsidR="00EF7C29" w:rsidRPr="003E2AD3">
        <w:rPr>
          <w:rFonts w:ascii="Times New Roman" w:hAnsi="Times New Roman" w:cs="Times New Roman"/>
          <w:color w:val="auto"/>
          <w:sz w:val="28"/>
          <w:szCs w:val="28"/>
          <w:lang w:val="uk-UA"/>
        </w:rPr>
        <w:t xml:space="preserve"> при підвищенні середньо ефективних доз</w:t>
      </w:r>
      <w:r w:rsidRPr="003E2AD3">
        <w:rPr>
          <w:rFonts w:ascii="Times New Roman" w:hAnsi="Times New Roman" w:cs="Times New Roman"/>
          <w:color w:val="auto"/>
          <w:sz w:val="28"/>
          <w:szCs w:val="28"/>
          <w:lang w:val="uk-UA"/>
        </w:rPr>
        <w:t>. Такі препарати, як ібупрофен (V група), мелоксикам (VІІ група) та німесулід (ХІ група) знижували рівень ТТГ у сироватці крові щурів у 1,47; 1,</w:t>
      </w:r>
      <w:r w:rsidR="00234FD7" w:rsidRPr="003E2AD3">
        <w:rPr>
          <w:rFonts w:ascii="Times New Roman" w:hAnsi="Times New Roman" w:cs="Times New Roman"/>
          <w:color w:val="auto"/>
          <w:sz w:val="28"/>
          <w:szCs w:val="28"/>
          <w:lang w:val="uk-UA"/>
        </w:rPr>
        <w:t>29</w:t>
      </w:r>
      <w:r w:rsidRPr="003E2AD3">
        <w:rPr>
          <w:rFonts w:ascii="Times New Roman" w:hAnsi="Times New Roman" w:cs="Times New Roman"/>
          <w:color w:val="auto"/>
          <w:sz w:val="28"/>
          <w:szCs w:val="28"/>
          <w:lang w:val="uk-UA"/>
        </w:rPr>
        <w:t xml:space="preserve"> та 1,4</w:t>
      </w:r>
      <w:r w:rsidR="00234FD7" w:rsidRPr="003E2AD3">
        <w:rPr>
          <w:rFonts w:ascii="Times New Roman" w:hAnsi="Times New Roman" w:cs="Times New Roman"/>
          <w:color w:val="auto"/>
          <w:sz w:val="28"/>
          <w:szCs w:val="28"/>
          <w:lang w:val="uk-UA"/>
        </w:rPr>
        <w:t>0</w:t>
      </w:r>
      <w:r w:rsidRPr="003E2AD3">
        <w:rPr>
          <w:rFonts w:ascii="Times New Roman" w:hAnsi="Times New Roman" w:cs="Times New Roman"/>
          <w:color w:val="auto"/>
          <w:sz w:val="28"/>
          <w:szCs w:val="28"/>
          <w:lang w:val="uk-UA"/>
        </w:rPr>
        <w:t xml:space="preserve"> рази </w:t>
      </w:r>
      <w:r w:rsidR="00A62A62" w:rsidRPr="003E2AD3">
        <w:rPr>
          <w:rFonts w:ascii="Times New Roman" w:hAnsi="Times New Roman" w:cs="Times New Roman"/>
          <w:color w:val="auto"/>
          <w:sz w:val="28"/>
          <w:szCs w:val="28"/>
          <w:lang w:val="uk-UA"/>
        </w:rPr>
        <w:t>(</w:t>
      </w:r>
      <w:r w:rsidR="00A62A62" w:rsidRPr="003E2AD3">
        <w:rPr>
          <w:rFonts w:ascii="Times New Roman" w:eastAsia="Calibri" w:hAnsi="Times New Roman" w:cs="Times New Roman"/>
          <w:iCs/>
          <w:color w:val="auto"/>
          <w:sz w:val="28"/>
          <w:szCs w:val="28"/>
          <w:lang w:val="uk-UA"/>
        </w:rPr>
        <w:t>р&lt;0,05</w:t>
      </w:r>
      <w:r w:rsidR="00A62A62" w:rsidRPr="003E2AD3">
        <w:rPr>
          <w:rFonts w:ascii="Times New Roman" w:hAnsi="Times New Roman" w:cs="Times New Roman"/>
          <w:color w:val="auto"/>
          <w:sz w:val="28"/>
          <w:szCs w:val="28"/>
          <w:lang w:val="uk-UA"/>
        </w:rPr>
        <w:t xml:space="preserve">) </w:t>
      </w:r>
      <w:r w:rsidRPr="003E2AD3">
        <w:rPr>
          <w:rFonts w:ascii="Times New Roman" w:hAnsi="Times New Roman" w:cs="Times New Roman"/>
          <w:color w:val="auto"/>
          <w:sz w:val="28"/>
          <w:szCs w:val="28"/>
          <w:lang w:val="uk-UA"/>
        </w:rPr>
        <w:t xml:space="preserve">відповідно. </w:t>
      </w:r>
      <w:r w:rsidR="00E434A5" w:rsidRPr="003E2AD3">
        <w:rPr>
          <w:rFonts w:ascii="Times New Roman" w:hAnsi="Times New Roman" w:cs="Times New Roman"/>
          <w:color w:val="auto"/>
          <w:sz w:val="28"/>
          <w:szCs w:val="28"/>
          <w:lang w:val="uk-UA"/>
        </w:rPr>
        <w:t>Водночас, за їхнього застосування</w:t>
      </w:r>
      <w:r w:rsidRPr="003E2AD3">
        <w:rPr>
          <w:rFonts w:ascii="Times New Roman" w:hAnsi="Times New Roman" w:cs="Times New Roman"/>
          <w:color w:val="auto"/>
          <w:sz w:val="28"/>
          <w:szCs w:val="28"/>
          <w:lang w:val="uk-UA"/>
        </w:rPr>
        <w:t xml:space="preserve"> спостерігалос</w:t>
      </w:r>
      <w:r w:rsidR="00E434A5" w:rsidRPr="003E2AD3">
        <w:rPr>
          <w:rFonts w:ascii="Times New Roman" w:hAnsi="Times New Roman" w:cs="Times New Roman"/>
          <w:color w:val="auto"/>
          <w:sz w:val="28"/>
          <w:szCs w:val="28"/>
          <w:lang w:val="uk-UA"/>
        </w:rPr>
        <w:t>я</w:t>
      </w:r>
      <w:r w:rsidRPr="003E2AD3">
        <w:rPr>
          <w:rFonts w:ascii="Times New Roman" w:hAnsi="Times New Roman" w:cs="Times New Roman"/>
          <w:color w:val="auto"/>
          <w:sz w:val="28"/>
          <w:szCs w:val="28"/>
          <w:lang w:val="uk-UA"/>
        </w:rPr>
        <w:t xml:space="preserve"> підвищення рівня Т4 у 1,23; 1,27 та 1,26 разів </w:t>
      </w:r>
      <w:r w:rsidR="00A62A62" w:rsidRPr="003E2AD3">
        <w:rPr>
          <w:rFonts w:ascii="Times New Roman" w:hAnsi="Times New Roman" w:cs="Times New Roman"/>
          <w:color w:val="auto"/>
          <w:sz w:val="28"/>
          <w:szCs w:val="28"/>
          <w:lang w:val="uk-UA"/>
        </w:rPr>
        <w:t>(</w:t>
      </w:r>
      <w:r w:rsidR="00A62A62" w:rsidRPr="003E2AD3">
        <w:rPr>
          <w:rFonts w:ascii="Times New Roman" w:eastAsia="Calibri" w:hAnsi="Times New Roman" w:cs="Times New Roman"/>
          <w:iCs/>
          <w:color w:val="auto"/>
          <w:sz w:val="28"/>
          <w:szCs w:val="28"/>
          <w:lang w:val="uk-UA"/>
        </w:rPr>
        <w:t>р&lt;0,05</w:t>
      </w:r>
      <w:r w:rsidR="00A62A62" w:rsidRPr="003E2AD3">
        <w:rPr>
          <w:rFonts w:ascii="Times New Roman" w:hAnsi="Times New Roman" w:cs="Times New Roman"/>
          <w:color w:val="auto"/>
          <w:sz w:val="28"/>
          <w:szCs w:val="28"/>
          <w:lang w:val="uk-UA"/>
        </w:rPr>
        <w:t xml:space="preserve">) </w:t>
      </w:r>
      <w:r w:rsidRPr="003E2AD3">
        <w:rPr>
          <w:rFonts w:ascii="Times New Roman" w:hAnsi="Times New Roman" w:cs="Times New Roman"/>
          <w:color w:val="auto"/>
          <w:sz w:val="28"/>
          <w:szCs w:val="28"/>
          <w:lang w:val="uk-UA"/>
        </w:rPr>
        <w:t>відповідно.</w:t>
      </w:r>
    </w:p>
    <w:p w:rsidR="00417DC7" w:rsidRPr="00E87CD9" w:rsidRDefault="008F2BA8" w:rsidP="00417DC7">
      <w:pPr>
        <w:pStyle w:val="WW-1"/>
        <w:spacing w:after="0" w:line="240" w:lineRule="auto"/>
        <w:ind w:firstLine="709"/>
        <w:jc w:val="both"/>
        <w:rPr>
          <w:rFonts w:ascii="Times New Roman" w:hAnsi="Times New Roman" w:cs="Times New Roman"/>
          <w:color w:val="auto"/>
          <w:sz w:val="28"/>
          <w:szCs w:val="28"/>
          <w:lang w:val="uk-UA"/>
        </w:rPr>
      </w:pPr>
      <w:r w:rsidRPr="003E2AD3">
        <w:rPr>
          <w:rFonts w:ascii="Times New Roman" w:hAnsi="Times New Roman" w:cs="Times New Roman"/>
          <w:color w:val="auto"/>
          <w:sz w:val="28"/>
          <w:szCs w:val="28"/>
          <w:lang w:val="uk-UA"/>
        </w:rPr>
        <w:lastRenderedPageBreak/>
        <w:t>Таким чином, р</w:t>
      </w:r>
      <w:r w:rsidR="00E434A5" w:rsidRPr="003E2AD3">
        <w:rPr>
          <w:rFonts w:ascii="Times New Roman" w:hAnsi="Times New Roman" w:cs="Times New Roman"/>
          <w:color w:val="auto"/>
          <w:sz w:val="28"/>
          <w:szCs w:val="28"/>
          <w:lang w:val="uk-UA"/>
        </w:rPr>
        <w:t>езультати</w:t>
      </w:r>
      <w:r w:rsidR="00417DC7" w:rsidRPr="003E2AD3">
        <w:rPr>
          <w:rFonts w:ascii="Times New Roman" w:hAnsi="Times New Roman" w:cs="Times New Roman"/>
          <w:color w:val="auto"/>
          <w:sz w:val="28"/>
          <w:szCs w:val="28"/>
          <w:lang w:val="uk-UA"/>
        </w:rPr>
        <w:t xml:space="preserve"> проведен</w:t>
      </w:r>
      <w:r w:rsidR="00E434A5" w:rsidRPr="003E2AD3">
        <w:rPr>
          <w:rFonts w:ascii="Times New Roman" w:hAnsi="Times New Roman" w:cs="Times New Roman"/>
          <w:color w:val="auto"/>
          <w:sz w:val="28"/>
          <w:szCs w:val="28"/>
          <w:lang w:val="uk-UA"/>
        </w:rPr>
        <w:t>ого</w:t>
      </w:r>
      <w:r w:rsidR="00417DC7" w:rsidRPr="003E2AD3">
        <w:rPr>
          <w:rFonts w:ascii="Times New Roman" w:hAnsi="Times New Roman" w:cs="Times New Roman"/>
          <w:color w:val="auto"/>
          <w:sz w:val="28"/>
          <w:szCs w:val="28"/>
          <w:lang w:val="uk-UA"/>
        </w:rPr>
        <w:t xml:space="preserve"> дослідження дозволил</w:t>
      </w:r>
      <w:r w:rsidR="00E434A5" w:rsidRPr="003E2AD3">
        <w:rPr>
          <w:rFonts w:ascii="Times New Roman" w:hAnsi="Times New Roman" w:cs="Times New Roman"/>
          <w:color w:val="auto"/>
          <w:sz w:val="28"/>
          <w:szCs w:val="28"/>
          <w:lang w:val="uk-UA"/>
        </w:rPr>
        <w:t>и</w:t>
      </w:r>
      <w:r w:rsidR="00417DC7" w:rsidRPr="003E2AD3">
        <w:rPr>
          <w:rFonts w:ascii="Times New Roman" w:hAnsi="Times New Roman" w:cs="Times New Roman"/>
          <w:color w:val="auto"/>
          <w:sz w:val="28"/>
          <w:szCs w:val="28"/>
          <w:lang w:val="uk-UA"/>
        </w:rPr>
        <w:t xml:space="preserve"> встановити, що на </w:t>
      </w:r>
      <w:r w:rsidR="00EF7C29" w:rsidRPr="003E2AD3">
        <w:rPr>
          <w:rFonts w:ascii="Times New Roman" w:hAnsi="Times New Roman" w:cs="Times New Roman"/>
          <w:color w:val="auto"/>
          <w:sz w:val="28"/>
          <w:szCs w:val="28"/>
          <w:lang w:val="uk-UA"/>
        </w:rPr>
        <w:t>середньо ефективних</w:t>
      </w:r>
      <w:r w:rsidR="00417DC7" w:rsidRPr="003E2AD3">
        <w:rPr>
          <w:rFonts w:ascii="Times New Roman" w:hAnsi="Times New Roman" w:cs="Times New Roman"/>
          <w:color w:val="auto"/>
          <w:sz w:val="28"/>
          <w:szCs w:val="28"/>
          <w:lang w:val="uk-UA"/>
        </w:rPr>
        <w:t xml:space="preserve"> дозах визначена лише тенденція до зниження рівня гормонів ЩЗ (Т3 та Т4) та ТТГ у сироват</w:t>
      </w:r>
      <w:r w:rsidR="00E434A5" w:rsidRPr="003E2AD3">
        <w:rPr>
          <w:rFonts w:ascii="Times New Roman" w:hAnsi="Times New Roman" w:cs="Times New Roman"/>
          <w:color w:val="auto"/>
          <w:sz w:val="28"/>
          <w:szCs w:val="28"/>
          <w:lang w:val="uk-UA"/>
        </w:rPr>
        <w:t>ці</w:t>
      </w:r>
      <w:r w:rsidR="00417DC7" w:rsidRPr="003E2AD3">
        <w:rPr>
          <w:rFonts w:ascii="Times New Roman" w:hAnsi="Times New Roman" w:cs="Times New Roman"/>
          <w:color w:val="auto"/>
          <w:sz w:val="28"/>
          <w:szCs w:val="28"/>
          <w:lang w:val="uk-UA"/>
        </w:rPr>
        <w:t xml:space="preserve"> крові щурів при внутр</w:t>
      </w:r>
      <w:r w:rsidR="00E434A5" w:rsidRPr="003E2AD3">
        <w:rPr>
          <w:rFonts w:ascii="Times New Roman" w:hAnsi="Times New Roman" w:cs="Times New Roman"/>
          <w:color w:val="auto"/>
          <w:sz w:val="28"/>
          <w:szCs w:val="28"/>
          <w:lang w:val="uk-UA"/>
        </w:rPr>
        <w:t>і</w:t>
      </w:r>
      <w:r w:rsidR="00417DC7" w:rsidRPr="003E2AD3">
        <w:rPr>
          <w:rFonts w:ascii="Times New Roman" w:hAnsi="Times New Roman" w:cs="Times New Roman"/>
          <w:color w:val="auto"/>
          <w:sz w:val="28"/>
          <w:szCs w:val="28"/>
          <w:lang w:val="uk-UA"/>
        </w:rPr>
        <w:t xml:space="preserve">шньошлунковому введенні досліджуваних препаратів (р&gt;0,05), а при </w:t>
      </w:r>
      <w:r w:rsidR="00EF7C29" w:rsidRPr="003E2AD3">
        <w:rPr>
          <w:rFonts w:ascii="Times New Roman" w:hAnsi="Times New Roman" w:cs="Times New Roman"/>
          <w:color w:val="auto"/>
          <w:sz w:val="28"/>
          <w:szCs w:val="28"/>
          <w:lang w:val="uk-UA"/>
        </w:rPr>
        <w:t xml:space="preserve">підвищенні середньо ефективних доз, у межах терапевтичного діапазону, </w:t>
      </w:r>
      <w:r w:rsidR="00417DC7" w:rsidRPr="003E2AD3">
        <w:rPr>
          <w:rFonts w:ascii="Times New Roman" w:hAnsi="Times New Roman" w:cs="Times New Roman"/>
          <w:color w:val="auto"/>
          <w:sz w:val="28"/>
          <w:szCs w:val="28"/>
          <w:lang w:val="uk-UA"/>
        </w:rPr>
        <w:t>отримані різноманітні дані за рівнем впливу на концентрацію ТТГ, Т3 та Т4 у сироватці крові щурів.</w:t>
      </w:r>
    </w:p>
    <w:p w:rsidR="00417DC7" w:rsidRPr="00E87CD9" w:rsidRDefault="00417DC7" w:rsidP="008F2BA8">
      <w:pPr>
        <w:spacing w:before="120"/>
        <w:ind w:firstLine="709"/>
        <w:jc w:val="both"/>
        <w:rPr>
          <w:bCs/>
          <w:i/>
          <w:color w:val="auto"/>
          <w:sz w:val="28"/>
          <w:szCs w:val="28"/>
        </w:rPr>
      </w:pPr>
      <w:r w:rsidRPr="00E87CD9">
        <w:rPr>
          <w:bCs/>
          <w:i/>
          <w:color w:val="auto"/>
          <w:sz w:val="28"/>
          <w:szCs w:val="28"/>
        </w:rPr>
        <w:t>Фармакологічна активність хондроїтину сульфату при коморбідній патології.</w:t>
      </w:r>
    </w:p>
    <w:p w:rsidR="00417DC7" w:rsidRPr="00E87CD9" w:rsidRDefault="00417DC7" w:rsidP="00417DC7">
      <w:pPr>
        <w:ind w:firstLine="709"/>
        <w:jc w:val="both"/>
        <w:rPr>
          <w:bCs/>
          <w:color w:val="auto"/>
          <w:sz w:val="28"/>
          <w:szCs w:val="28"/>
        </w:rPr>
      </w:pPr>
      <w:r w:rsidRPr="00E87CD9">
        <w:rPr>
          <w:bCs/>
          <w:color w:val="auto"/>
          <w:sz w:val="28"/>
          <w:szCs w:val="28"/>
        </w:rPr>
        <w:t>Відомо, що ефективність і доцільність використання препаратів хондроїтину сульфату (ХС) у клінічній практиці є предметом постійних дискусій. Різноманітні клінічні настанови з лікування ОА мають різний ступінь доказовості рекомендацій</w:t>
      </w:r>
      <w:r w:rsidR="00E434A5" w:rsidRPr="00E87CD9">
        <w:rPr>
          <w:bCs/>
          <w:color w:val="auto"/>
          <w:sz w:val="28"/>
          <w:szCs w:val="28"/>
        </w:rPr>
        <w:t xml:space="preserve"> до застосування</w:t>
      </w:r>
      <w:r w:rsidRPr="00E87CD9">
        <w:rPr>
          <w:bCs/>
          <w:color w:val="auto"/>
          <w:sz w:val="28"/>
          <w:szCs w:val="28"/>
        </w:rPr>
        <w:t xml:space="preserve"> ХС. Тому нашим завданням було дослідити ефективність та доцільність призначення ХС при коморбідній патології</w:t>
      </w:r>
      <w:r w:rsidR="00E434A5" w:rsidRPr="00E87CD9">
        <w:rPr>
          <w:bCs/>
          <w:color w:val="auto"/>
          <w:sz w:val="28"/>
          <w:szCs w:val="28"/>
        </w:rPr>
        <w:t xml:space="preserve"> – О</w:t>
      </w:r>
      <w:r w:rsidRPr="00E87CD9">
        <w:rPr>
          <w:bCs/>
          <w:color w:val="auto"/>
          <w:sz w:val="28"/>
          <w:szCs w:val="28"/>
        </w:rPr>
        <w:t>А та ГІТ.</w:t>
      </w:r>
    </w:p>
    <w:p w:rsidR="00417DC7" w:rsidRPr="00E87CD9" w:rsidRDefault="00417DC7" w:rsidP="00417DC7">
      <w:pPr>
        <w:ind w:firstLine="709"/>
        <w:jc w:val="both"/>
        <w:rPr>
          <w:color w:val="auto"/>
          <w:sz w:val="28"/>
          <w:szCs w:val="28"/>
        </w:rPr>
      </w:pPr>
      <w:r w:rsidRPr="00E87CD9">
        <w:rPr>
          <w:bCs/>
          <w:color w:val="auto"/>
          <w:sz w:val="28"/>
          <w:szCs w:val="28"/>
        </w:rPr>
        <w:t>Для оцін</w:t>
      </w:r>
      <w:r w:rsidR="00E434A5" w:rsidRPr="00E87CD9">
        <w:rPr>
          <w:bCs/>
          <w:color w:val="auto"/>
          <w:sz w:val="28"/>
          <w:szCs w:val="28"/>
        </w:rPr>
        <w:t>ки ступенязапального процес</w:t>
      </w:r>
      <w:r w:rsidRPr="00E87CD9">
        <w:rPr>
          <w:bCs/>
          <w:color w:val="auto"/>
          <w:sz w:val="28"/>
          <w:szCs w:val="28"/>
        </w:rPr>
        <w:t xml:space="preserve">у </w:t>
      </w:r>
      <w:r w:rsidR="00E434A5" w:rsidRPr="00E87CD9">
        <w:rPr>
          <w:bCs/>
          <w:color w:val="auto"/>
          <w:sz w:val="28"/>
          <w:szCs w:val="28"/>
        </w:rPr>
        <w:t>уколінних</w:t>
      </w:r>
      <w:r w:rsidRPr="00E87CD9">
        <w:rPr>
          <w:bCs/>
          <w:color w:val="auto"/>
          <w:sz w:val="28"/>
          <w:szCs w:val="28"/>
        </w:rPr>
        <w:t xml:space="preserve"> суглобах щурів була проведена морфометрична оцінка передн</w:t>
      </w:r>
      <w:r w:rsidR="00E434A5" w:rsidRPr="00E87CD9">
        <w:rPr>
          <w:bCs/>
          <w:color w:val="auto"/>
          <w:sz w:val="28"/>
          <w:szCs w:val="28"/>
        </w:rPr>
        <w:t>ьо</w:t>
      </w:r>
      <w:r w:rsidRPr="00E87CD9">
        <w:rPr>
          <w:bCs/>
          <w:color w:val="auto"/>
          <w:sz w:val="28"/>
          <w:szCs w:val="28"/>
        </w:rPr>
        <w:t xml:space="preserve">-задніх розмірів колінних суглобів у ВС та на фоні </w:t>
      </w:r>
      <w:r w:rsidR="004856FA" w:rsidRPr="00E87CD9">
        <w:rPr>
          <w:bCs/>
          <w:color w:val="auto"/>
          <w:sz w:val="28"/>
          <w:szCs w:val="28"/>
        </w:rPr>
        <w:t>експериментальних моделей коморбідної патології</w:t>
      </w:r>
      <w:r w:rsidRPr="00E87CD9">
        <w:rPr>
          <w:bCs/>
          <w:color w:val="auto"/>
          <w:sz w:val="28"/>
          <w:szCs w:val="28"/>
        </w:rPr>
        <w:t xml:space="preserve">. </w:t>
      </w:r>
      <w:r w:rsidRPr="00E87CD9">
        <w:rPr>
          <w:color w:val="auto"/>
          <w:sz w:val="28"/>
          <w:szCs w:val="28"/>
        </w:rPr>
        <w:t xml:space="preserve">Встановлено, що на 42 добу з моменту моделювання експериментального ОА та ГІТ відзначалося виражене збільшення розмірів уражених суглобів, що свідчило про розвиток запальної реакції у відповідь на експериментальні моделі. </w:t>
      </w:r>
      <w:r w:rsidR="00AF37FA" w:rsidRPr="00E87CD9">
        <w:rPr>
          <w:color w:val="auto"/>
          <w:sz w:val="28"/>
          <w:szCs w:val="28"/>
        </w:rPr>
        <w:t xml:space="preserve">Аналіз отриманих даних встановив, що введення ХС упродовж 28 діб надає позитивний терапевтичний ефект за критерієм зменшення розміру колінних суглобів щурів на 19,8% </w:t>
      </w:r>
      <w:r w:rsidR="00AF37FA" w:rsidRPr="00E87CD9">
        <w:rPr>
          <w:rFonts w:eastAsia="Microsoft YaHei"/>
          <w:iCs/>
          <w:color w:val="auto"/>
          <w:sz w:val="28"/>
          <w:szCs w:val="28"/>
          <w:lang w:eastAsia="ru-RU"/>
        </w:rPr>
        <w:t xml:space="preserve">(р&lt;0,001) </w:t>
      </w:r>
      <w:r w:rsidR="00AF37FA" w:rsidRPr="00E87CD9">
        <w:rPr>
          <w:color w:val="auto"/>
          <w:sz w:val="28"/>
          <w:szCs w:val="28"/>
        </w:rPr>
        <w:t xml:space="preserve">порівняно з відповідним показником у групі на початку введення препарату (ВС), в той час як у групі активного контролю (ОА + ГІТ), навпаки, спостерігалося подальше наростання запальних явищ (збільшення розмірів в 1,47 рази відносно вихідного стану,  </w:t>
      </w:r>
      <w:r w:rsidR="00AF37FA" w:rsidRPr="00E87CD9">
        <w:rPr>
          <w:rFonts w:eastAsia="Microsoft YaHei"/>
          <w:iCs/>
          <w:color w:val="auto"/>
          <w:sz w:val="28"/>
          <w:szCs w:val="28"/>
          <w:lang w:eastAsia="ru-RU"/>
        </w:rPr>
        <w:t>р&lt;0,001)</w:t>
      </w:r>
      <w:r w:rsidR="00AF37FA" w:rsidRPr="00E87CD9">
        <w:rPr>
          <w:color w:val="auto"/>
          <w:sz w:val="28"/>
          <w:szCs w:val="28"/>
        </w:rPr>
        <w:t xml:space="preserve">. Отже, на </w:t>
      </w:r>
      <w:r w:rsidRPr="00E87CD9">
        <w:rPr>
          <w:color w:val="auto"/>
          <w:sz w:val="28"/>
          <w:szCs w:val="28"/>
        </w:rPr>
        <w:t xml:space="preserve">70 добу експериментуу групі тварин, які отримували </w:t>
      </w:r>
      <w:r w:rsidR="00E434A5" w:rsidRPr="00E87CD9">
        <w:rPr>
          <w:color w:val="auto"/>
          <w:sz w:val="28"/>
          <w:szCs w:val="28"/>
        </w:rPr>
        <w:t>ХС</w:t>
      </w:r>
      <w:r w:rsidR="008F2BA8" w:rsidRPr="00E87CD9">
        <w:rPr>
          <w:color w:val="auto"/>
          <w:sz w:val="28"/>
          <w:szCs w:val="28"/>
        </w:rPr>
        <w:t>,</w:t>
      </w:r>
      <w:r w:rsidRPr="00E87CD9">
        <w:rPr>
          <w:color w:val="auto"/>
          <w:sz w:val="28"/>
          <w:szCs w:val="28"/>
        </w:rPr>
        <w:t xml:space="preserve"> відзначено достовірне зменшення розмірів суглобів на </w:t>
      </w:r>
      <w:r w:rsidR="004856FA" w:rsidRPr="00E87CD9">
        <w:rPr>
          <w:color w:val="auto"/>
          <w:sz w:val="28"/>
          <w:szCs w:val="28"/>
        </w:rPr>
        <w:t>26,1</w:t>
      </w:r>
      <w:r w:rsidRPr="00E87CD9">
        <w:rPr>
          <w:color w:val="auto"/>
          <w:sz w:val="28"/>
          <w:szCs w:val="28"/>
        </w:rPr>
        <w:t>%</w:t>
      </w:r>
      <w:r w:rsidR="004856FA" w:rsidRPr="00E87CD9">
        <w:rPr>
          <w:rFonts w:eastAsia="Microsoft YaHei"/>
          <w:iCs/>
          <w:color w:val="auto"/>
          <w:sz w:val="28"/>
          <w:szCs w:val="28"/>
          <w:lang w:eastAsia="ru-RU"/>
        </w:rPr>
        <w:t>(р&lt;0,001)</w:t>
      </w:r>
      <w:r w:rsidRPr="00E87CD9">
        <w:rPr>
          <w:color w:val="auto"/>
          <w:sz w:val="28"/>
          <w:szCs w:val="28"/>
        </w:rPr>
        <w:t xml:space="preserve"> у порівнянні з </w:t>
      </w:r>
      <w:r w:rsidR="00AF37FA" w:rsidRPr="00E87CD9">
        <w:rPr>
          <w:color w:val="auto"/>
          <w:sz w:val="28"/>
          <w:szCs w:val="28"/>
        </w:rPr>
        <w:t>групою активного контролю (</w:t>
      </w:r>
      <w:r w:rsidR="00AF37FA" w:rsidRPr="00E87CD9">
        <w:rPr>
          <w:rFonts w:eastAsia="Microsoft YaHei"/>
          <w:iCs/>
          <w:color w:val="auto"/>
          <w:sz w:val="28"/>
          <w:szCs w:val="28"/>
          <w:lang w:eastAsia="ru-RU"/>
        </w:rPr>
        <w:t>р&lt;0,001</w:t>
      </w:r>
      <w:r w:rsidR="00AF37FA" w:rsidRPr="00E87CD9">
        <w:rPr>
          <w:color w:val="auto"/>
          <w:sz w:val="28"/>
          <w:szCs w:val="28"/>
        </w:rPr>
        <w:t>).</w:t>
      </w:r>
    </w:p>
    <w:p w:rsidR="00417DC7" w:rsidRPr="00E87CD9" w:rsidRDefault="00417DC7" w:rsidP="00417DC7">
      <w:pPr>
        <w:ind w:firstLine="709"/>
        <w:jc w:val="both"/>
        <w:rPr>
          <w:color w:val="auto"/>
          <w:sz w:val="28"/>
          <w:szCs w:val="28"/>
        </w:rPr>
      </w:pPr>
      <w:r w:rsidRPr="00E87CD9">
        <w:rPr>
          <w:color w:val="auto"/>
          <w:sz w:val="28"/>
          <w:szCs w:val="28"/>
        </w:rPr>
        <w:t xml:space="preserve">Дослідження у тесті «відкрите поле» встановило, що на 42 добу дослідження спостерігалось пригнічення рухової, дослідницької та вегетативної активності щурів на фоні наростання патологічних змін </w:t>
      </w:r>
      <w:r w:rsidR="00CC71D6" w:rsidRPr="00E87CD9">
        <w:rPr>
          <w:color w:val="auto"/>
          <w:sz w:val="28"/>
          <w:szCs w:val="28"/>
        </w:rPr>
        <w:t>на тлі</w:t>
      </w:r>
      <w:r w:rsidRPr="00E87CD9">
        <w:rPr>
          <w:color w:val="auto"/>
          <w:sz w:val="28"/>
          <w:szCs w:val="28"/>
        </w:rPr>
        <w:t xml:space="preserve"> ОА та ГІТ відносно групи інтактних щур</w:t>
      </w:r>
      <w:r w:rsidR="00CC71D6" w:rsidRPr="00E87CD9">
        <w:rPr>
          <w:color w:val="auto"/>
          <w:sz w:val="28"/>
          <w:szCs w:val="28"/>
        </w:rPr>
        <w:t xml:space="preserve">ів. Проте, призначення ХС сприяло </w:t>
      </w:r>
      <w:r w:rsidRPr="00E87CD9">
        <w:rPr>
          <w:color w:val="auto"/>
          <w:sz w:val="28"/>
          <w:szCs w:val="28"/>
        </w:rPr>
        <w:t xml:space="preserve">відновленню рухової та дослідницької активності щурів у порівнянні з групою активного контролю </w:t>
      </w:r>
      <w:r w:rsidR="002B236C" w:rsidRPr="00E87CD9">
        <w:rPr>
          <w:color w:val="auto"/>
          <w:sz w:val="28"/>
          <w:szCs w:val="28"/>
        </w:rPr>
        <w:t>(ОА + ГІТ</w:t>
      </w:r>
      <w:r w:rsidRPr="00E87CD9">
        <w:rPr>
          <w:color w:val="auto"/>
          <w:sz w:val="28"/>
          <w:szCs w:val="28"/>
        </w:rPr>
        <w:t xml:space="preserve">), що свідчило про позитивний вплив ХС на перебіг коморбідного стану. </w:t>
      </w:r>
      <w:r w:rsidR="00CC71D6" w:rsidRPr="00E87CD9">
        <w:rPr>
          <w:color w:val="auto"/>
          <w:sz w:val="28"/>
          <w:szCs w:val="28"/>
        </w:rPr>
        <w:t xml:space="preserve">За призначення ХС кількість </w:t>
      </w:r>
      <w:r w:rsidRPr="00E87CD9">
        <w:rPr>
          <w:color w:val="auto"/>
          <w:sz w:val="28"/>
          <w:szCs w:val="28"/>
        </w:rPr>
        <w:t>досліджених квадратів</w:t>
      </w:r>
      <w:r w:rsidR="00641511" w:rsidRPr="00E87CD9">
        <w:rPr>
          <w:color w:val="auto"/>
          <w:sz w:val="28"/>
          <w:szCs w:val="28"/>
        </w:rPr>
        <w:t xml:space="preserve">,стійок та досліджених норок </w:t>
      </w:r>
      <w:r w:rsidR="002B236C" w:rsidRPr="00E87CD9">
        <w:rPr>
          <w:color w:val="auto"/>
          <w:sz w:val="28"/>
          <w:szCs w:val="28"/>
        </w:rPr>
        <w:t xml:space="preserve">достовірно збільшилася </w:t>
      </w:r>
      <w:r w:rsidRPr="00E87CD9">
        <w:rPr>
          <w:color w:val="auto"/>
          <w:sz w:val="28"/>
          <w:szCs w:val="28"/>
        </w:rPr>
        <w:t xml:space="preserve">у </w:t>
      </w:r>
      <w:r w:rsidR="00111102" w:rsidRPr="00E87CD9">
        <w:rPr>
          <w:color w:val="auto"/>
          <w:sz w:val="28"/>
          <w:szCs w:val="28"/>
        </w:rPr>
        <w:t>2,13</w:t>
      </w:r>
      <w:r w:rsidR="00641511" w:rsidRPr="00E87CD9">
        <w:rPr>
          <w:color w:val="auto"/>
          <w:sz w:val="28"/>
          <w:szCs w:val="28"/>
        </w:rPr>
        <w:t xml:space="preserve">; 5,67 та 3,46 рази </w:t>
      </w:r>
      <w:r w:rsidR="00641511" w:rsidRPr="00E87CD9">
        <w:rPr>
          <w:rFonts w:eastAsia="Microsoft YaHei"/>
          <w:iCs/>
          <w:color w:val="auto"/>
          <w:sz w:val="28"/>
          <w:szCs w:val="28"/>
          <w:lang w:eastAsia="ru-RU"/>
        </w:rPr>
        <w:t xml:space="preserve">(р&lt;0,001) </w:t>
      </w:r>
      <w:r w:rsidRPr="00E87CD9">
        <w:rPr>
          <w:rFonts w:eastAsia="Microsoft YaHei"/>
          <w:iCs/>
          <w:color w:val="auto"/>
          <w:sz w:val="28"/>
          <w:szCs w:val="28"/>
          <w:lang w:eastAsia="ru-RU"/>
        </w:rPr>
        <w:t xml:space="preserve">відповідно </w:t>
      </w:r>
      <w:r w:rsidRPr="00E87CD9">
        <w:rPr>
          <w:color w:val="auto"/>
          <w:sz w:val="28"/>
          <w:szCs w:val="28"/>
        </w:rPr>
        <w:t>у порівнянні з групою активного контролю (</w:t>
      </w:r>
      <w:r w:rsidR="002B236C" w:rsidRPr="00E87CD9">
        <w:rPr>
          <w:color w:val="auto"/>
          <w:sz w:val="28"/>
          <w:szCs w:val="28"/>
        </w:rPr>
        <w:t>ОА + ГІТ</w:t>
      </w:r>
      <w:r w:rsidRPr="00E87CD9">
        <w:rPr>
          <w:color w:val="auto"/>
          <w:sz w:val="28"/>
          <w:szCs w:val="28"/>
        </w:rPr>
        <w:t>). Тривожний стан тварин при призначен</w:t>
      </w:r>
      <w:r w:rsidR="002B236C" w:rsidRPr="00E87CD9">
        <w:rPr>
          <w:color w:val="auto"/>
          <w:sz w:val="28"/>
          <w:szCs w:val="28"/>
        </w:rPr>
        <w:t>н</w:t>
      </w:r>
      <w:r w:rsidRPr="00E87CD9">
        <w:rPr>
          <w:color w:val="auto"/>
          <w:sz w:val="28"/>
          <w:szCs w:val="28"/>
        </w:rPr>
        <w:t xml:space="preserve">і </w:t>
      </w:r>
      <w:r w:rsidR="00CC71D6" w:rsidRPr="00E87CD9">
        <w:rPr>
          <w:color w:val="auto"/>
          <w:sz w:val="28"/>
          <w:szCs w:val="28"/>
        </w:rPr>
        <w:t>ХС</w:t>
      </w:r>
      <w:r w:rsidRPr="00E87CD9">
        <w:rPr>
          <w:color w:val="auto"/>
          <w:sz w:val="28"/>
          <w:szCs w:val="28"/>
        </w:rPr>
        <w:t xml:space="preserve"> характеризувався тенденцією до вирівнювання емоціонального фону відносно групи активного контролю.</w:t>
      </w:r>
    </w:p>
    <w:p w:rsidR="00417DC7" w:rsidRPr="00E87CD9" w:rsidRDefault="00417DC7" w:rsidP="00417DC7">
      <w:pPr>
        <w:ind w:firstLine="709"/>
        <w:jc w:val="both"/>
        <w:rPr>
          <w:color w:val="auto"/>
          <w:sz w:val="28"/>
          <w:szCs w:val="28"/>
        </w:rPr>
      </w:pPr>
      <w:r w:rsidRPr="00E87CD9">
        <w:rPr>
          <w:color w:val="auto"/>
          <w:sz w:val="28"/>
          <w:szCs w:val="28"/>
        </w:rPr>
        <w:t xml:space="preserve">Досліджено, що на 42 добу експерименту відносно групи </w:t>
      </w:r>
      <w:r w:rsidR="00CC71D6" w:rsidRPr="00E87CD9">
        <w:rPr>
          <w:color w:val="auto"/>
          <w:sz w:val="28"/>
          <w:szCs w:val="28"/>
        </w:rPr>
        <w:t>інтактних тварин</w:t>
      </w:r>
      <w:r w:rsidRPr="00E87CD9">
        <w:rPr>
          <w:color w:val="auto"/>
          <w:sz w:val="28"/>
          <w:szCs w:val="28"/>
        </w:rPr>
        <w:t xml:space="preserve">, ОА та ГІТ призводили до достовірного підвищення рівня </w:t>
      </w:r>
      <w:r w:rsidR="00E33CB6" w:rsidRPr="00E87CD9">
        <w:rPr>
          <w:color w:val="auto"/>
          <w:sz w:val="28"/>
          <w:szCs w:val="28"/>
        </w:rPr>
        <w:t xml:space="preserve">серомукоїдів у 4,67 рази </w:t>
      </w:r>
      <w:r w:rsidR="00E33CB6" w:rsidRPr="00E87CD9">
        <w:rPr>
          <w:rFonts w:eastAsia="Microsoft YaHei"/>
          <w:iCs/>
          <w:color w:val="auto"/>
          <w:sz w:val="28"/>
          <w:szCs w:val="28"/>
          <w:lang w:eastAsia="ru-RU"/>
        </w:rPr>
        <w:t xml:space="preserve">(р&lt;0,001), сіалових кислот у 3,05 рази (р&lt;0,001), глікозаміногліканів </w:t>
      </w:r>
      <w:r w:rsidR="00E33CB6" w:rsidRPr="00E87CD9">
        <w:rPr>
          <w:rFonts w:eastAsia="Microsoft YaHei"/>
          <w:iCs/>
          <w:color w:val="auto"/>
          <w:sz w:val="28"/>
          <w:szCs w:val="28"/>
          <w:lang w:eastAsia="ru-RU"/>
        </w:rPr>
        <w:lastRenderedPageBreak/>
        <w:t>(ГАГ) у 1,36 рази (р&lt;0,05), оксипроліну у 4,01 рази (р&lt;0,001) та кальцію у 1,29 рази (р&lt;0,05).</w:t>
      </w:r>
      <w:r w:rsidR="009A1B62" w:rsidRPr="00E87CD9">
        <w:rPr>
          <w:rFonts w:eastAsia="Microsoft YaHei"/>
          <w:iCs/>
          <w:color w:val="auto"/>
          <w:sz w:val="28"/>
          <w:szCs w:val="28"/>
          <w:lang w:eastAsia="ru-RU"/>
        </w:rPr>
        <w:t>Варто зауважити, що м</w:t>
      </w:r>
      <w:r w:rsidRPr="00E87CD9">
        <w:rPr>
          <w:rFonts w:eastAsia="Microsoft YaHei"/>
          <w:iCs/>
          <w:color w:val="auto"/>
          <w:sz w:val="28"/>
          <w:szCs w:val="28"/>
          <w:lang w:eastAsia="ru-RU"/>
        </w:rPr>
        <w:t xml:space="preserve">аркер С-телопептиду колагену II типу (СТХ II) </w:t>
      </w:r>
      <w:r w:rsidR="009A1B62" w:rsidRPr="00E87CD9">
        <w:rPr>
          <w:rFonts w:eastAsia="Microsoft YaHei"/>
          <w:iCs/>
          <w:color w:val="auto"/>
          <w:sz w:val="28"/>
          <w:szCs w:val="28"/>
          <w:lang w:eastAsia="ru-RU"/>
        </w:rPr>
        <w:t xml:space="preserve">у сироватці крові щурів (295,0±1,26 нг/мл) </w:t>
      </w:r>
      <w:r w:rsidRPr="00E87CD9">
        <w:rPr>
          <w:rFonts w:eastAsia="Microsoft YaHei"/>
          <w:iCs/>
          <w:color w:val="auto"/>
          <w:sz w:val="28"/>
          <w:szCs w:val="28"/>
          <w:lang w:eastAsia="ru-RU"/>
        </w:rPr>
        <w:t>відзнача</w:t>
      </w:r>
      <w:r w:rsidR="009A1B62" w:rsidRPr="00E87CD9">
        <w:rPr>
          <w:rFonts w:eastAsia="Microsoft YaHei"/>
          <w:iCs/>
          <w:color w:val="auto"/>
          <w:sz w:val="28"/>
          <w:szCs w:val="28"/>
          <w:lang w:eastAsia="ru-RU"/>
        </w:rPr>
        <w:t>всялише за наявності патології.</w:t>
      </w:r>
      <w:r w:rsidRPr="00E87CD9">
        <w:rPr>
          <w:rFonts w:eastAsia="Microsoft YaHei"/>
          <w:iCs/>
          <w:color w:val="auto"/>
          <w:sz w:val="28"/>
          <w:szCs w:val="28"/>
          <w:lang w:eastAsia="ru-RU"/>
        </w:rPr>
        <w:t xml:space="preserve"> Проте</w:t>
      </w:r>
      <w:r w:rsidRPr="00E87CD9">
        <w:rPr>
          <w:color w:val="auto"/>
          <w:sz w:val="28"/>
          <w:szCs w:val="28"/>
        </w:rPr>
        <w:t xml:space="preserve">, на </w:t>
      </w:r>
      <w:r w:rsidR="009A1B62" w:rsidRPr="00E87CD9">
        <w:rPr>
          <w:color w:val="auto"/>
          <w:sz w:val="28"/>
          <w:szCs w:val="28"/>
        </w:rPr>
        <w:t>тлі</w:t>
      </w:r>
      <w:r w:rsidRPr="00E87CD9">
        <w:rPr>
          <w:color w:val="auto"/>
          <w:sz w:val="28"/>
          <w:szCs w:val="28"/>
        </w:rPr>
        <w:t xml:space="preserve"> 28-добового введення </w:t>
      </w:r>
      <w:r w:rsidR="00CC71D6" w:rsidRPr="00E87CD9">
        <w:rPr>
          <w:color w:val="auto"/>
          <w:sz w:val="28"/>
          <w:szCs w:val="28"/>
        </w:rPr>
        <w:t>ХС</w:t>
      </w:r>
      <w:r w:rsidRPr="00E87CD9">
        <w:rPr>
          <w:color w:val="auto"/>
          <w:sz w:val="28"/>
          <w:szCs w:val="28"/>
        </w:rPr>
        <w:t xml:space="preserve"> (70 доба експерименту) відносно </w:t>
      </w:r>
      <w:r w:rsidRPr="00E87CD9">
        <w:rPr>
          <w:rFonts w:eastAsia="Microsoft YaHei"/>
          <w:iCs/>
          <w:color w:val="auto"/>
          <w:sz w:val="28"/>
          <w:szCs w:val="28"/>
          <w:lang w:eastAsia="ru-RU"/>
        </w:rPr>
        <w:t>групи активного контролю (</w:t>
      </w:r>
      <w:r w:rsidR="009A1B62" w:rsidRPr="00E87CD9">
        <w:rPr>
          <w:color w:val="auto"/>
          <w:sz w:val="28"/>
          <w:szCs w:val="28"/>
        </w:rPr>
        <w:t>ОА + ГІТ</w:t>
      </w:r>
      <w:r w:rsidRPr="00E87CD9">
        <w:rPr>
          <w:rFonts w:eastAsia="Microsoft YaHei"/>
          <w:color w:val="auto"/>
          <w:sz w:val="28"/>
          <w:szCs w:val="28"/>
        </w:rPr>
        <w:t xml:space="preserve">) </w:t>
      </w:r>
      <w:r w:rsidR="00CC71D6" w:rsidRPr="00E87CD9">
        <w:rPr>
          <w:color w:val="auto"/>
          <w:sz w:val="28"/>
          <w:szCs w:val="28"/>
        </w:rPr>
        <w:t>відмічало</w:t>
      </w:r>
      <w:r w:rsidRPr="00E87CD9">
        <w:rPr>
          <w:color w:val="auto"/>
          <w:sz w:val="28"/>
          <w:szCs w:val="28"/>
        </w:rPr>
        <w:t xml:space="preserve">ся </w:t>
      </w:r>
      <w:r w:rsidR="00B16B9B" w:rsidRPr="00E87CD9">
        <w:rPr>
          <w:color w:val="auto"/>
          <w:sz w:val="28"/>
          <w:szCs w:val="28"/>
        </w:rPr>
        <w:t xml:space="preserve">достовірне зниження </w:t>
      </w:r>
      <w:r w:rsidR="00B16B9B" w:rsidRPr="00E87CD9">
        <w:rPr>
          <w:rFonts w:eastAsia="Microsoft YaHei"/>
          <w:iCs/>
          <w:color w:val="auto"/>
          <w:sz w:val="28"/>
          <w:szCs w:val="28"/>
          <w:lang w:eastAsia="ru-RU"/>
        </w:rPr>
        <w:t xml:space="preserve">(р&lt;0,001) </w:t>
      </w:r>
      <w:r w:rsidR="00B16B9B" w:rsidRPr="00E87CD9">
        <w:rPr>
          <w:color w:val="auto"/>
          <w:sz w:val="28"/>
          <w:szCs w:val="28"/>
        </w:rPr>
        <w:t>рівня сер</w:t>
      </w:r>
      <w:r w:rsidR="009A1B62" w:rsidRPr="00E87CD9">
        <w:rPr>
          <w:color w:val="auto"/>
          <w:sz w:val="28"/>
          <w:szCs w:val="28"/>
        </w:rPr>
        <w:t>омукоїдів у 1,55 рази</w:t>
      </w:r>
      <w:r w:rsidR="00B16B9B" w:rsidRPr="00E87CD9">
        <w:rPr>
          <w:rFonts w:eastAsia="Microsoft YaHei"/>
          <w:iCs/>
          <w:color w:val="auto"/>
          <w:sz w:val="28"/>
          <w:szCs w:val="28"/>
          <w:lang w:eastAsia="ru-RU"/>
        </w:rPr>
        <w:t>, сіалових кислот у 1,56 рази, ГАГ у 1,43 рази</w:t>
      </w:r>
      <w:r w:rsidR="009A1B62" w:rsidRPr="00E87CD9">
        <w:rPr>
          <w:rFonts w:eastAsia="Microsoft YaHei"/>
          <w:iCs/>
          <w:color w:val="auto"/>
          <w:sz w:val="28"/>
          <w:szCs w:val="28"/>
          <w:lang w:eastAsia="ru-RU"/>
        </w:rPr>
        <w:t>,</w:t>
      </w:r>
      <w:r w:rsidR="00B16B9B" w:rsidRPr="00E87CD9">
        <w:rPr>
          <w:rFonts w:eastAsia="Microsoft YaHei"/>
          <w:iCs/>
          <w:color w:val="auto"/>
          <w:sz w:val="28"/>
          <w:szCs w:val="28"/>
          <w:lang w:eastAsia="ru-RU"/>
        </w:rPr>
        <w:t xml:space="preserve"> оксипроліну у 1,98 рази та кальцію у 1,65 рази. </w:t>
      </w:r>
      <w:r w:rsidRPr="00E87CD9">
        <w:rPr>
          <w:color w:val="auto"/>
          <w:sz w:val="28"/>
          <w:szCs w:val="28"/>
        </w:rPr>
        <w:t xml:space="preserve">Звертає увагу зниження рівня маркеру СТХ II </w:t>
      </w:r>
      <w:r w:rsidR="00B16B9B" w:rsidRPr="00E87CD9">
        <w:rPr>
          <w:color w:val="auto"/>
          <w:sz w:val="28"/>
          <w:szCs w:val="28"/>
        </w:rPr>
        <w:t xml:space="preserve">у 1,35 рази </w:t>
      </w:r>
      <w:r w:rsidR="00B16B9B" w:rsidRPr="00E87CD9">
        <w:rPr>
          <w:rFonts w:eastAsia="Microsoft YaHei"/>
          <w:iCs/>
          <w:color w:val="auto"/>
          <w:sz w:val="28"/>
          <w:szCs w:val="28"/>
          <w:lang w:eastAsia="ru-RU"/>
        </w:rPr>
        <w:t>(р&lt;0,001)</w:t>
      </w:r>
      <w:r w:rsidRPr="00E87CD9">
        <w:rPr>
          <w:color w:val="auto"/>
          <w:sz w:val="28"/>
          <w:szCs w:val="28"/>
        </w:rPr>
        <w:t xml:space="preserve">відносно </w:t>
      </w:r>
      <w:r w:rsidRPr="00E87CD9">
        <w:rPr>
          <w:rFonts w:eastAsia="Microsoft YaHei"/>
          <w:iCs/>
          <w:color w:val="auto"/>
          <w:sz w:val="28"/>
          <w:szCs w:val="28"/>
          <w:lang w:eastAsia="ru-RU"/>
        </w:rPr>
        <w:t>групи активного контролю (</w:t>
      </w:r>
      <w:r w:rsidR="009A1B62" w:rsidRPr="00E87CD9">
        <w:rPr>
          <w:color w:val="auto"/>
          <w:sz w:val="28"/>
          <w:szCs w:val="28"/>
        </w:rPr>
        <w:t>ОА + ГІТ</w:t>
      </w:r>
      <w:r w:rsidRPr="00E87CD9">
        <w:rPr>
          <w:rFonts w:eastAsia="Microsoft YaHei"/>
          <w:color w:val="auto"/>
          <w:sz w:val="28"/>
          <w:szCs w:val="28"/>
        </w:rPr>
        <w:t>)</w:t>
      </w:r>
      <w:r w:rsidRPr="00E87CD9">
        <w:rPr>
          <w:color w:val="auto"/>
          <w:sz w:val="28"/>
          <w:szCs w:val="28"/>
        </w:rPr>
        <w:t xml:space="preserve">, </w:t>
      </w:r>
      <w:r w:rsidR="00CC71D6" w:rsidRPr="00E87CD9">
        <w:rPr>
          <w:color w:val="auto"/>
          <w:sz w:val="28"/>
          <w:szCs w:val="28"/>
        </w:rPr>
        <w:t xml:space="preserve">що </w:t>
      </w:r>
      <w:r w:rsidRPr="00E87CD9">
        <w:rPr>
          <w:color w:val="auto"/>
          <w:sz w:val="28"/>
          <w:szCs w:val="28"/>
        </w:rPr>
        <w:t>відображає процес деструкції хрящової тканини, зокрема колагену II типу.</w:t>
      </w:r>
    </w:p>
    <w:p w:rsidR="009A1B62" w:rsidRPr="00E87CD9" w:rsidRDefault="00417DC7" w:rsidP="00417DC7">
      <w:pPr>
        <w:ind w:firstLine="709"/>
        <w:jc w:val="both"/>
        <w:rPr>
          <w:color w:val="auto"/>
          <w:sz w:val="28"/>
          <w:szCs w:val="28"/>
        </w:rPr>
      </w:pPr>
      <w:r w:rsidRPr="00E87CD9">
        <w:rPr>
          <w:bCs/>
          <w:color w:val="auto"/>
          <w:sz w:val="28"/>
          <w:szCs w:val="28"/>
        </w:rPr>
        <w:t xml:space="preserve">Аналіз </w:t>
      </w:r>
      <w:r w:rsidR="00CC71D6" w:rsidRPr="00E87CD9">
        <w:rPr>
          <w:bCs/>
          <w:color w:val="auto"/>
          <w:sz w:val="28"/>
          <w:szCs w:val="28"/>
        </w:rPr>
        <w:t xml:space="preserve">результатів щодо </w:t>
      </w:r>
      <w:r w:rsidRPr="00E87CD9">
        <w:rPr>
          <w:bCs/>
          <w:color w:val="auto"/>
          <w:sz w:val="28"/>
          <w:szCs w:val="28"/>
        </w:rPr>
        <w:t xml:space="preserve">впливу </w:t>
      </w:r>
      <w:r w:rsidR="00CC71D6" w:rsidRPr="00E87CD9">
        <w:rPr>
          <w:bCs/>
          <w:color w:val="auto"/>
          <w:sz w:val="28"/>
          <w:szCs w:val="28"/>
        </w:rPr>
        <w:t>ХС</w:t>
      </w:r>
      <w:r w:rsidRPr="00E87CD9">
        <w:rPr>
          <w:bCs/>
          <w:color w:val="auto"/>
          <w:sz w:val="28"/>
          <w:szCs w:val="28"/>
        </w:rPr>
        <w:t xml:space="preserve"> на прояви ОА на фоні ГІТ встановив, що </w:t>
      </w:r>
      <w:r w:rsidR="009A1B62" w:rsidRPr="00E87CD9">
        <w:rPr>
          <w:bCs/>
          <w:color w:val="auto"/>
          <w:sz w:val="28"/>
          <w:szCs w:val="28"/>
        </w:rPr>
        <w:t>означені патології</w:t>
      </w:r>
      <w:r w:rsidRPr="00E87CD9">
        <w:rPr>
          <w:color w:val="auto"/>
          <w:sz w:val="28"/>
          <w:szCs w:val="28"/>
        </w:rPr>
        <w:t xml:space="preserve"> призводять до збільшення морфометричних розмірів уражених суглобів, пригнічення показників рухової, дослідницької та вегетативної активності щурів та змін біохімічних показників </w:t>
      </w:r>
      <w:r w:rsidR="00CC71D6" w:rsidRPr="00E87CD9">
        <w:rPr>
          <w:color w:val="auto"/>
          <w:sz w:val="28"/>
          <w:szCs w:val="28"/>
        </w:rPr>
        <w:t xml:space="preserve">у </w:t>
      </w:r>
      <w:r w:rsidRPr="00E87CD9">
        <w:rPr>
          <w:color w:val="auto"/>
          <w:sz w:val="28"/>
          <w:szCs w:val="28"/>
        </w:rPr>
        <w:t>сироват</w:t>
      </w:r>
      <w:r w:rsidR="00CC71D6" w:rsidRPr="00E87CD9">
        <w:rPr>
          <w:color w:val="auto"/>
          <w:sz w:val="28"/>
          <w:szCs w:val="28"/>
        </w:rPr>
        <w:t>ці</w:t>
      </w:r>
      <w:r w:rsidRPr="00E87CD9">
        <w:rPr>
          <w:color w:val="auto"/>
          <w:sz w:val="28"/>
          <w:szCs w:val="28"/>
        </w:rPr>
        <w:t xml:space="preserve"> крові на </w:t>
      </w:r>
      <w:r w:rsidR="009A1B62" w:rsidRPr="00E87CD9">
        <w:rPr>
          <w:color w:val="auto"/>
          <w:sz w:val="28"/>
          <w:szCs w:val="28"/>
        </w:rPr>
        <w:t>тлі</w:t>
      </w:r>
      <w:r w:rsidRPr="00E87CD9">
        <w:rPr>
          <w:color w:val="auto"/>
          <w:sz w:val="28"/>
          <w:szCs w:val="28"/>
        </w:rPr>
        <w:t xml:space="preserve"> запалення та дегенеративно-дистрофічного процесу (за рівнем серомукоїдів, сіалових кислот, глікозаміногліканів, оксипроліну, си</w:t>
      </w:r>
      <w:r w:rsidR="009B4E22" w:rsidRPr="00E87CD9">
        <w:rPr>
          <w:color w:val="auto"/>
          <w:sz w:val="28"/>
          <w:szCs w:val="28"/>
        </w:rPr>
        <w:t>роват</w:t>
      </w:r>
      <w:r w:rsidRPr="00E87CD9">
        <w:rPr>
          <w:color w:val="auto"/>
          <w:sz w:val="28"/>
          <w:szCs w:val="28"/>
        </w:rPr>
        <w:t>кового кальцію та маркеру СТХ ІІ).</w:t>
      </w:r>
      <w:r w:rsidR="00CC71D6" w:rsidRPr="00E87CD9">
        <w:rPr>
          <w:color w:val="auto"/>
          <w:sz w:val="28"/>
          <w:szCs w:val="28"/>
        </w:rPr>
        <w:t xml:space="preserve"> П</w:t>
      </w:r>
      <w:r w:rsidRPr="00E87CD9">
        <w:rPr>
          <w:color w:val="auto"/>
          <w:sz w:val="28"/>
          <w:szCs w:val="28"/>
        </w:rPr>
        <w:t xml:space="preserve">ризначення </w:t>
      </w:r>
      <w:r w:rsidR="00CC71D6" w:rsidRPr="00E87CD9">
        <w:rPr>
          <w:color w:val="auto"/>
          <w:sz w:val="28"/>
          <w:szCs w:val="28"/>
        </w:rPr>
        <w:t>ХС</w:t>
      </w:r>
      <w:r w:rsidRPr="00E87CD9">
        <w:rPr>
          <w:color w:val="auto"/>
          <w:sz w:val="28"/>
          <w:szCs w:val="28"/>
        </w:rPr>
        <w:t xml:space="preserve"> сприя</w:t>
      </w:r>
      <w:r w:rsidR="00CC71D6" w:rsidRPr="00E87CD9">
        <w:rPr>
          <w:color w:val="auto"/>
          <w:sz w:val="28"/>
          <w:szCs w:val="28"/>
        </w:rPr>
        <w:t>ло</w:t>
      </w:r>
      <w:r w:rsidRPr="00E87CD9">
        <w:rPr>
          <w:color w:val="auto"/>
          <w:sz w:val="28"/>
          <w:szCs w:val="28"/>
        </w:rPr>
        <w:t xml:space="preserve"> позитивному впливу на </w:t>
      </w:r>
      <w:r w:rsidR="009A1B62" w:rsidRPr="00E87CD9">
        <w:rPr>
          <w:color w:val="auto"/>
          <w:sz w:val="28"/>
          <w:szCs w:val="28"/>
        </w:rPr>
        <w:t>перебіг</w:t>
      </w:r>
      <w:r w:rsidRPr="00E87CD9">
        <w:rPr>
          <w:color w:val="auto"/>
          <w:sz w:val="28"/>
          <w:szCs w:val="28"/>
        </w:rPr>
        <w:t xml:space="preserve"> патологічних змін внаслідок комор</w:t>
      </w:r>
      <w:r w:rsidR="00CC71D6" w:rsidRPr="00E87CD9">
        <w:rPr>
          <w:color w:val="auto"/>
          <w:sz w:val="28"/>
          <w:szCs w:val="28"/>
        </w:rPr>
        <w:t>бідного стану, що характеризува</w:t>
      </w:r>
      <w:r w:rsidR="009A1B62" w:rsidRPr="00E87CD9">
        <w:rPr>
          <w:color w:val="auto"/>
          <w:sz w:val="28"/>
          <w:szCs w:val="28"/>
        </w:rPr>
        <w:t>лось</w:t>
      </w:r>
      <w:r w:rsidRPr="00E87CD9">
        <w:rPr>
          <w:color w:val="auto"/>
          <w:sz w:val="28"/>
          <w:szCs w:val="28"/>
        </w:rPr>
        <w:t xml:space="preserve"> відновленням морфометричних розмірів уражених суглобів, показників рухової, дослідницької та вегетативної активності щурів та біохімічних показників</w:t>
      </w:r>
      <w:r w:rsidR="009A1B62" w:rsidRPr="00E87CD9">
        <w:rPr>
          <w:color w:val="auto"/>
          <w:sz w:val="28"/>
          <w:szCs w:val="28"/>
        </w:rPr>
        <w:t xml:space="preserve">. </w:t>
      </w:r>
    </w:p>
    <w:p w:rsidR="00417DC7" w:rsidRPr="00E87CD9" w:rsidRDefault="00417DC7" w:rsidP="00417DC7">
      <w:pPr>
        <w:ind w:firstLine="709"/>
        <w:jc w:val="both"/>
        <w:rPr>
          <w:color w:val="auto"/>
          <w:sz w:val="28"/>
          <w:szCs w:val="28"/>
        </w:rPr>
      </w:pPr>
      <w:r w:rsidRPr="00E87CD9">
        <w:rPr>
          <w:color w:val="auto"/>
          <w:sz w:val="28"/>
          <w:szCs w:val="28"/>
        </w:rPr>
        <w:t xml:space="preserve">На підставі отриманих результатів обґрунтована доцільність призначення </w:t>
      </w:r>
      <w:r w:rsidR="00CC71D6" w:rsidRPr="00E87CD9">
        <w:rPr>
          <w:color w:val="auto"/>
          <w:sz w:val="28"/>
          <w:szCs w:val="28"/>
        </w:rPr>
        <w:t>ХС</w:t>
      </w:r>
      <w:r w:rsidRPr="00E87CD9">
        <w:rPr>
          <w:color w:val="auto"/>
          <w:sz w:val="28"/>
          <w:szCs w:val="28"/>
        </w:rPr>
        <w:t>, як компоненту фармакотерапії при ОА та ГІТ.</w:t>
      </w:r>
    </w:p>
    <w:p w:rsidR="00417DC7" w:rsidRPr="00E87CD9" w:rsidRDefault="00417DC7" w:rsidP="00417DC7">
      <w:pPr>
        <w:pStyle w:val="17"/>
        <w:spacing w:before="0" w:after="0"/>
        <w:ind w:firstLine="709"/>
        <w:jc w:val="both"/>
        <w:rPr>
          <w:rFonts w:cs="Times New Roman"/>
          <w:i w:val="0"/>
          <w:sz w:val="28"/>
          <w:szCs w:val="28"/>
          <w:lang w:val="uk-UA"/>
        </w:rPr>
      </w:pPr>
      <w:r w:rsidRPr="00E87CD9">
        <w:rPr>
          <w:rFonts w:cs="Times New Roman"/>
          <w:i w:val="0"/>
          <w:sz w:val="28"/>
          <w:szCs w:val="28"/>
          <w:lang w:val="uk-UA" w:eastAsia="uk-UA"/>
        </w:rPr>
        <w:t xml:space="preserve">Наступним етапом дослідження було </w:t>
      </w:r>
      <w:r w:rsidRPr="00E87CD9">
        <w:rPr>
          <w:rFonts w:cs="Times New Roman"/>
          <w:sz w:val="28"/>
          <w:szCs w:val="28"/>
          <w:lang w:val="uk-UA" w:eastAsia="uk-UA"/>
        </w:rPr>
        <w:t>визначення в</w:t>
      </w:r>
      <w:r w:rsidRPr="00E87CD9">
        <w:rPr>
          <w:rFonts w:cs="Times New Roman"/>
          <w:sz w:val="28"/>
          <w:szCs w:val="28"/>
          <w:lang w:val="uk-UA"/>
        </w:rPr>
        <w:t>пливу комбінації L–тироксину, диклофенаку натрію та х</w:t>
      </w:r>
      <w:r w:rsidRPr="00E87CD9">
        <w:rPr>
          <w:rFonts w:cs="Times New Roman"/>
          <w:bCs/>
          <w:sz w:val="28"/>
          <w:szCs w:val="28"/>
          <w:lang w:val="uk-UA"/>
        </w:rPr>
        <w:t xml:space="preserve">ондроїтину сульфату </w:t>
      </w:r>
      <w:r w:rsidRPr="00E87CD9">
        <w:rPr>
          <w:rFonts w:cs="Times New Roman"/>
          <w:sz w:val="28"/>
          <w:szCs w:val="28"/>
          <w:lang w:val="uk-UA"/>
        </w:rPr>
        <w:t xml:space="preserve">на біль за умов експериментальної коморбідної патології </w:t>
      </w:r>
      <w:r w:rsidRPr="00E87CD9">
        <w:rPr>
          <w:rStyle w:val="Default20Paragraph20Font"/>
          <w:rFonts w:cs="Times New Roman"/>
          <w:bCs/>
          <w:iCs w:val="0"/>
          <w:sz w:val="28"/>
          <w:szCs w:val="28"/>
          <w:lang w:val="uk-UA"/>
        </w:rPr>
        <w:t>на моделі електрошкірного подразнення хвоста щура.</w:t>
      </w:r>
    </w:p>
    <w:p w:rsidR="00417DC7" w:rsidRPr="00E87CD9" w:rsidRDefault="00CC71D6" w:rsidP="00417DC7">
      <w:pPr>
        <w:ind w:firstLine="709"/>
        <w:jc w:val="both"/>
        <w:rPr>
          <w:color w:val="auto"/>
          <w:sz w:val="28"/>
          <w:szCs w:val="28"/>
          <w:lang w:eastAsia="ru-RU"/>
        </w:rPr>
      </w:pPr>
      <w:r w:rsidRPr="00E87CD9">
        <w:rPr>
          <w:color w:val="auto"/>
          <w:sz w:val="28"/>
          <w:szCs w:val="28"/>
          <w:lang w:eastAsia="ru-RU"/>
        </w:rPr>
        <w:t>Результати д</w:t>
      </w:r>
      <w:r w:rsidR="00417DC7" w:rsidRPr="00E87CD9">
        <w:rPr>
          <w:color w:val="auto"/>
          <w:sz w:val="28"/>
          <w:szCs w:val="28"/>
          <w:lang w:eastAsia="ru-RU"/>
        </w:rPr>
        <w:t>ослідження показали, що через півгодини (30 хв) після введення ЛЗ тваринам, диклофенак натрію підвищував поріг болю у тварин з ОА та ГІТ у 1,</w:t>
      </w:r>
      <w:r w:rsidR="005D2264" w:rsidRPr="00E87CD9">
        <w:rPr>
          <w:color w:val="auto"/>
          <w:sz w:val="28"/>
          <w:szCs w:val="28"/>
          <w:lang w:eastAsia="ru-RU"/>
        </w:rPr>
        <w:t>6</w:t>
      </w:r>
      <w:r w:rsidR="00417DC7" w:rsidRPr="00E87CD9">
        <w:rPr>
          <w:color w:val="auto"/>
          <w:sz w:val="28"/>
          <w:szCs w:val="28"/>
          <w:lang w:eastAsia="ru-RU"/>
        </w:rPr>
        <w:t>7 рази (р&lt;0,05), на 60 хвилині – у 1,3</w:t>
      </w:r>
      <w:r w:rsidR="005D2264" w:rsidRPr="00E87CD9">
        <w:rPr>
          <w:color w:val="auto"/>
          <w:sz w:val="28"/>
          <w:szCs w:val="28"/>
          <w:lang w:eastAsia="ru-RU"/>
        </w:rPr>
        <w:t>1</w:t>
      </w:r>
      <w:r w:rsidR="00417DC7" w:rsidRPr="00E87CD9">
        <w:rPr>
          <w:color w:val="auto"/>
          <w:sz w:val="28"/>
          <w:szCs w:val="28"/>
          <w:lang w:eastAsia="ru-RU"/>
        </w:rPr>
        <w:t xml:space="preserve"> рази (р&lt;0,05), на 90 хвилині у 1,5 рази</w:t>
      </w:r>
      <w:r w:rsidR="00730B17" w:rsidRPr="00E87CD9">
        <w:rPr>
          <w:color w:val="auto"/>
          <w:sz w:val="28"/>
          <w:szCs w:val="28"/>
          <w:lang w:eastAsia="ru-RU"/>
        </w:rPr>
        <w:t xml:space="preserve"> (р&lt;0,05)</w:t>
      </w:r>
      <w:r w:rsidR="00417DC7" w:rsidRPr="00E87CD9">
        <w:rPr>
          <w:color w:val="auto"/>
          <w:sz w:val="28"/>
          <w:szCs w:val="28"/>
          <w:lang w:eastAsia="ru-RU"/>
        </w:rPr>
        <w:t xml:space="preserve">; больовий поріг в подальшому знижувався. Встановлено, що </w:t>
      </w:r>
      <w:r w:rsidRPr="00E87CD9">
        <w:rPr>
          <w:color w:val="auto"/>
          <w:sz w:val="28"/>
          <w:szCs w:val="28"/>
          <w:lang w:eastAsia="ru-RU"/>
        </w:rPr>
        <w:t>ХС притаманний</w:t>
      </w:r>
      <w:r w:rsidR="00417DC7" w:rsidRPr="00E87CD9">
        <w:rPr>
          <w:color w:val="auto"/>
          <w:sz w:val="28"/>
          <w:szCs w:val="28"/>
          <w:lang w:eastAsia="ru-RU"/>
        </w:rPr>
        <w:t xml:space="preserve"> знеболю</w:t>
      </w:r>
      <w:r w:rsidRPr="00E87CD9">
        <w:rPr>
          <w:color w:val="auto"/>
          <w:sz w:val="28"/>
          <w:szCs w:val="28"/>
          <w:lang w:eastAsia="ru-RU"/>
        </w:rPr>
        <w:t>вальн</w:t>
      </w:r>
      <w:r w:rsidR="00D32A96" w:rsidRPr="00E87CD9">
        <w:rPr>
          <w:color w:val="auto"/>
          <w:sz w:val="28"/>
          <w:szCs w:val="28"/>
          <w:lang w:eastAsia="ru-RU"/>
        </w:rPr>
        <w:t>ий</w:t>
      </w:r>
      <w:r w:rsidR="00417DC7" w:rsidRPr="00E87CD9">
        <w:rPr>
          <w:color w:val="auto"/>
          <w:sz w:val="28"/>
          <w:szCs w:val="28"/>
          <w:lang w:eastAsia="ru-RU"/>
        </w:rPr>
        <w:t xml:space="preserve"> ефект, що набуло прояву у підвищен</w:t>
      </w:r>
      <w:r w:rsidR="00730B17" w:rsidRPr="00E87CD9">
        <w:rPr>
          <w:color w:val="auto"/>
          <w:sz w:val="28"/>
          <w:szCs w:val="28"/>
          <w:lang w:eastAsia="ru-RU"/>
        </w:rPr>
        <w:t>н</w:t>
      </w:r>
      <w:r w:rsidR="00417DC7" w:rsidRPr="00E87CD9">
        <w:rPr>
          <w:color w:val="auto"/>
          <w:sz w:val="28"/>
          <w:szCs w:val="28"/>
          <w:lang w:eastAsia="ru-RU"/>
        </w:rPr>
        <w:t>і порогу болю у щурів на 60 хвилині експерименту у 1,25 рази (р&lt;0,05)</w:t>
      </w:r>
      <w:r w:rsidR="005D2264" w:rsidRPr="00E87CD9">
        <w:rPr>
          <w:color w:val="auto"/>
          <w:sz w:val="28"/>
          <w:szCs w:val="28"/>
          <w:lang w:eastAsia="ru-RU"/>
        </w:rPr>
        <w:t xml:space="preserve">, а на 90 хвилині </w:t>
      </w:r>
      <w:r w:rsidR="00730B17" w:rsidRPr="00E87CD9">
        <w:rPr>
          <w:color w:val="auto"/>
          <w:sz w:val="28"/>
          <w:szCs w:val="28"/>
          <w:lang w:eastAsia="ru-RU"/>
        </w:rPr>
        <w:t xml:space="preserve">– </w:t>
      </w:r>
      <w:r w:rsidR="005D2264" w:rsidRPr="00E87CD9">
        <w:rPr>
          <w:color w:val="auto"/>
          <w:sz w:val="28"/>
          <w:szCs w:val="28"/>
          <w:lang w:eastAsia="ru-RU"/>
        </w:rPr>
        <w:t>у 1,17 рази (р&lt;0,05)</w:t>
      </w:r>
      <w:r w:rsidR="00417DC7" w:rsidRPr="00E87CD9">
        <w:rPr>
          <w:color w:val="auto"/>
          <w:sz w:val="28"/>
          <w:szCs w:val="28"/>
          <w:lang w:eastAsia="ru-RU"/>
        </w:rPr>
        <w:t xml:space="preserve"> (табл. 1).</w:t>
      </w:r>
    </w:p>
    <w:p w:rsidR="00730B17" w:rsidRPr="00E87CD9" w:rsidRDefault="00730B17" w:rsidP="00730B17">
      <w:pPr>
        <w:pStyle w:val="WW-"/>
        <w:spacing w:after="0" w:line="240" w:lineRule="auto"/>
        <w:ind w:firstLine="709"/>
        <w:jc w:val="both"/>
        <w:rPr>
          <w:rFonts w:ascii="Times New Roman" w:eastAsia="Times New Roman" w:hAnsi="Times New Roman" w:cs="Times New Roman"/>
          <w:color w:val="auto"/>
          <w:sz w:val="28"/>
          <w:szCs w:val="28"/>
          <w:lang w:val="uk-UA" w:eastAsia="ru-RU"/>
        </w:rPr>
      </w:pPr>
      <w:r w:rsidRPr="00E87CD9">
        <w:rPr>
          <w:rFonts w:ascii="Times New Roman" w:eastAsia="Times New Roman" w:hAnsi="Times New Roman" w:cs="Times New Roman"/>
          <w:color w:val="auto"/>
          <w:sz w:val="28"/>
          <w:szCs w:val="28"/>
          <w:lang w:val="uk-UA" w:eastAsia="ru-RU"/>
        </w:rPr>
        <w:t xml:space="preserve">Аналіз отриманих результатів встановив, що антиноцицептивна дія за комбінованого застосування </w:t>
      </w:r>
      <w:r w:rsidRPr="00E87CD9">
        <w:rPr>
          <w:rFonts w:ascii="Times New Roman" w:hAnsi="Times New Roman" w:cs="Times New Roman"/>
          <w:color w:val="auto"/>
          <w:sz w:val="28"/>
          <w:szCs w:val="28"/>
          <w:lang w:val="uk-UA"/>
        </w:rPr>
        <w:t xml:space="preserve">диклофенаку натрію + хондроїтину сульфату + L-тироксину </w:t>
      </w:r>
      <w:r w:rsidRPr="00E87CD9">
        <w:rPr>
          <w:rFonts w:ascii="Times New Roman" w:eastAsia="Times New Roman" w:hAnsi="Times New Roman" w:cs="Times New Roman"/>
          <w:color w:val="auto"/>
          <w:sz w:val="28"/>
          <w:szCs w:val="28"/>
          <w:lang w:val="uk-UA" w:eastAsia="ru-RU"/>
        </w:rPr>
        <w:t>проявлялась більш виражено. Так, через 30 хвилин після введення даної комбінації ЛЗ, поріг болю у тварин підвищився у 1,</w:t>
      </w:r>
      <w:r w:rsidR="001F24EE" w:rsidRPr="00E87CD9">
        <w:rPr>
          <w:rFonts w:ascii="Times New Roman" w:eastAsia="Times New Roman" w:hAnsi="Times New Roman" w:cs="Times New Roman"/>
          <w:color w:val="auto"/>
          <w:sz w:val="28"/>
          <w:szCs w:val="28"/>
          <w:lang w:val="uk-UA" w:eastAsia="ru-RU"/>
        </w:rPr>
        <w:t>7</w:t>
      </w:r>
      <w:r w:rsidRPr="00E87CD9">
        <w:rPr>
          <w:rFonts w:ascii="Times New Roman" w:eastAsia="Times New Roman" w:hAnsi="Times New Roman" w:cs="Times New Roman"/>
          <w:color w:val="auto"/>
          <w:sz w:val="28"/>
          <w:szCs w:val="28"/>
          <w:lang w:val="uk-UA" w:eastAsia="ru-RU"/>
        </w:rPr>
        <w:t xml:space="preserve"> рази (р&lt;0,05), на 60-й хвилині він підвищився у 2,21 рази (р&lt;0,05). Проте, найбільш виражено дана комбінація препаратів проявляла знеболювальну активність на 90 хвилині експерименту, пригнічуючи ноцицептивну чутливість щурів у 2,72 рази (р&lt;0,05).</w:t>
      </w:r>
    </w:p>
    <w:p w:rsidR="00214B63" w:rsidRPr="00E87CD9" w:rsidRDefault="00214B63" w:rsidP="00214B63">
      <w:pPr>
        <w:ind w:firstLine="709"/>
        <w:jc w:val="both"/>
        <w:rPr>
          <w:color w:val="auto"/>
          <w:sz w:val="28"/>
          <w:szCs w:val="28"/>
          <w:lang w:eastAsia="ru-RU"/>
        </w:rPr>
      </w:pPr>
      <w:r w:rsidRPr="00E87CD9">
        <w:rPr>
          <w:bCs/>
          <w:color w:val="auto"/>
          <w:sz w:val="28"/>
          <w:szCs w:val="28"/>
          <w:lang w:eastAsia="ru-RU"/>
        </w:rPr>
        <w:t xml:space="preserve">При оцінці аналгетичної активності досліджуваних препаратів методом термоподразнення хвоста у щурів встановлено, що </w:t>
      </w:r>
      <w:r w:rsidRPr="00E87CD9">
        <w:rPr>
          <w:color w:val="auto"/>
          <w:sz w:val="28"/>
          <w:szCs w:val="28"/>
        </w:rPr>
        <w:t xml:space="preserve">препарат диклофенак натрію </w:t>
      </w:r>
      <w:r w:rsidRPr="00E87CD9">
        <w:rPr>
          <w:color w:val="auto"/>
          <w:sz w:val="28"/>
          <w:szCs w:val="28"/>
          <w:lang w:eastAsia="ru-RU"/>
        </w:rPr>
        <w:t xml:space="preserve">при внутрішньошлунковому одноразовому введенні у дозі 10 мг/кг показав </w:t>
      </w:r>
      <w:r w:rsidRPr="00E87CD9">
        <w:rPr>
          <w:color w:val="auto"/>
          <w:sz w:val="28"/>
          <w:szCs w:val="28"/>
          <w:lang w:eastAsia="ru-RU"/>
        </w:rPr>
        <w:lastRenderedPageBreak/>
        <w:t>максимальну знеболювальну активність на 90 хвилині експерименту, що проявлялося у зменшенні імерсії хвоста у 1,67 рази (р&lt;0,05) (табл. 2).</w:t>
      </w:r>
    </w:p>
    <w:p w:rsidR="00417DC7" w:rsidRPr="00E87CD9" w:rsidRDefault="00417DC7" w:rsidP="00417DC7">
      <w:pPr>
        <w:ind w:firstLine="709"/>
        <w:jc w:val="right"/>
        <w:rPr>
          <w:color w:val="auto"/>
          <w:sz w:val="28"/>
          <w:szCs w:val="28"/>
        </w:rPr>
      </w:pPr>
      <w:r w:rsidRPr="00E87CD9">
        <w:rPr>
          <w:i/>
          <w:color w:val="auto"/>
          <w:sz w:val="28"/>
          <w:szCs w:val="28"/>
          <w:lang w:eastAsia="ru-RU"/>
        </w:rPr>
        <w:t>Таблиця 1</w:t>
      </w:r>
    </w:p>
    <w:p w:rsidR="00730B17" w:rsidRPr="00E87CD9" w:rsidRDefault="00417DC7" w:rsidP="00730B17">
      <w:pPr>
        <w:jc w:val="center"/>
        <w:rPr>
          <w:b/>
          <w:bCs/>
          <w:color w:val="auto"/>
          <w:sz w:val="28"/>
          <w:szCs w:val="28"/>
        </w:rPr>
      </w:pPr>
      <w:r w:rsidRPr="00E87CD9">
        <w:rPr>
          <w:b/>
          <w:bCs/>
          <w:color w:val="auto"/>
          <w:sz w:val="28"/>
          <w:szCs w:val="28"/>
          <w:lang w:eastAsia="ru-RU"/>
        </w:rPr>
        <w:t xml:space="preserve">Показники больового порогу в тесті електрошкірного подразнення хвоста </w:t>
      </w:r>
      <w:r w:rsidRPr="00E87CD9">
        <w:rPr>
          <w:b/>
          <w:bCs/>
          <w:color w:val="auto"/>
          <w:sz w:val="28"/>
          <w:szCs w:val="28"/>
        </w:rPr>
        <w:t>щура за умов коморбідної патології при призначен</w:t>
      </w:r>
      <w:r w:rsidR="00730B17" w:rsidRPr="00E87CD9">
        <w:rPr>
          <w:b/>
          <w:bCs/>
          <w:color w:val="auto"/>
          <w:sz w:val="28"/>
          <w:szCs w:val="28"/>
        </w:rPr>
        <w:t>н</w:t>
      </w:r>
      <w:r w:rsidRPr="00E87CD9">
        <w:rPr>
          <w:b/>
          <w:bCs/>
          <w:color w:val="auto"/>
          <w:sz w:val="28"/>
          <w:szCs w:val="28"/>
        </w:rPr>
        <w:t>і комбінації ЛЗ</w:t>
      </w:r>
    </w:p>
    <w:tbl>
      <w:tblPr>
        <w:tblW w:w="965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5"/>
        <w:gridCol w:w="1077"/>
        <w:gridCol w:w="1077"/>
        <w:gridCol w:w="1077"/>
        <w:gridCol w:w="1077"/>
        <w:gridCol w:w="1078"/>
      </w:tblGrid>
      <w:tr w:rsidR="00730B17" w:rsidRPr="00E87CD9" w:rsidTr="00730B17">
        <w:trPr>
          <w:trHeight w:val="477"/>
        </w:trPr>
        <w:tc>
          <w:tcPr>
            <w:tcW w:w="4265" w:type="dxa"/>
            <w:vMerge w:val="restart"/>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Групи тварин</w:t>
            </w:r>
          </w:p>
          <w:p w:rsidR="00730B17" w:rsidRPr="00E87CD9" w:rsidRDefault="00730B17" w:rsidP="00A01C0C">
            <w:pPr>
              <w:jc w:val="center"/>
              <w:rPr>
                <w:b/>
                <w:color w:val="auto"/>
                <w:sz w:val="27"/>
                <w:szCs w:val="27"/>
              </w:rPr>
            </w:pPr>
            <w:r w:rsidRPr="00E87CD9">
              <w:rPr>
                <w:b/>
                <w:color w:val="auto"/>
                <w:sz w:val="27"/>
                <w:szCs w:val="27"/>
                <w:lang w:eastAsia="ru-RU"/>
              </w:rPr>
              <w:t>(n =40)</w:t>
            </w:r>
          </w:p>
        </w:tc>
        <w:tc>
          <w:tcPr>
            <w:tcW w:w="5386" w:type="dxa"/>
            <w:gridSpan w:val="5"/>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 xml:space="preserve">Величина больового порогу (мА), </w:t>
            </w:r>
            <w:r w:rsidRPr="00E87CD9">
              <w:rPr>
                <w:b/>
                <w:color w:val="auto"/>
                <w:sz w:val="28"/>
                <w:szCs w:val="28"/>
              </w:rPr>
              <w:t>M±m</w:t>
            </w:r>
          </w:p>
        </w:tc>
      </w:tr>
      <w:tr w:rsidR="00730B17" w:rsidRPr="00E87CD9" w:rsidTr="00730B17">
        <w:trPr>
          <w:trHeight w:val="383"/>
        </w:trPr>
        <w:tc>
          <w:tcPr>
            <w:tcW w:w="4265" w:type="dxa"/>
            <w:vMerge/>
            <w:shd w:val="clear" w:color="auto" w:fill="auto"/>
            <w:vAlign w:val="center"/>
          </w:tcPr>
          <w:p w:rsidR="00730B17" w:rsidRPr="00E87CD9" w:rsidRDefault="00730B17" w:rsidP="00A01C0C">
            <w:pPr>
              <w:snapToGrid w:val="0"/>
              <w:jc w:val="center"/>
              <w:rPr>
                <w:b/>
                <w:color w:val="auto"/>
                <w:sz w:val="27"/>
                <w:szCs w:val="27"/>
                <w:lang w:eastAsia="ru-RU"/>
              </w:rPr>
            </w:pPr>
          </w:p>
        </w:tc>
        <w:tc>
          <w:tcPr>
            <w:tcW w:w="1077" w:type="dxa"/>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ВС</w:t>
            </w:r>
          </w:p>
        </w:tc>
        <w:tc>
          <w:tcPr>
            <w:tcW w:w="1077" w:type="dxa"/>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30 хв</w:t>
            </w:r>
          </w:p>
        </w:tc>
        <w:tc>
          <w:tcPr>
            <w:tcW w:w="1077" w:type="dxa"/>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60 хв</w:t>
            </w:r>
          </w:p>
        </w:tc>
        <w:tc>
          <w:tcPr>
            <w:tcW w:w="1077" w:type="dxa"/>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90 хв</w:t>
            </w:r>
          </w:p>
        </w:tc>
        <w:tc>
          <w:tcPr>
            <w:tcW w:w="1078" w:type="dxa"/>
            <w:shd w:val="clear" w:color="auto" w:fill="auto"/>
            <w:vAlign w:val="center"/>
          </w:tcPr>
          <w:p w:rsidR="00730B17" w:rsidRPr="00E87CD9" w:rsidRDefault="00730B17" w:rsidP="00A01C0C">
            <w:pPr>
              <w:jc w:val="center"/>
              <w:rPr>
                <w:b/>
                <w:color w:val="auto"/>
                <w:sz w:val="27"/>
                <w:szCs w:val="27"/>
              </w:rPr>
            </w:pPr>
            <w:r w:rsidRPr="00E87CD9">
              <w:rPr>
                <w:b/>
                <w:color w:val="auto"/>
                <w:sz w:val="27"/>
                <w:szCs w:val="27"/>
                <w:lang w:eastAsia="ru-RU"/>
              </w:rPr>
              <w:t>120 хв</w:t>
            </w:r>
          </w:p>
        </w:tc>
      </w:tr>
      <w:tr w:rsidR="00730B17" w:rsidRPr="00E87CD9" w:rsidTr="00730B17">
        <w:trPr>
          <w:trHeight w:val="545"/>
        </w:trPr>
        <w:tc>
          <w:tcPr>
            <w:tcW w:w="4265" w:type="dxa"/>
            <w:shd w:val="clear" w:color="auto" w:fill="auto"/>
            <w:vAlign w:val="center"/>
          </w:tcPr>
          <w:p w:rsidR="00730B17" w:rsidRPr="00E87CD9" w:rsidRDefault="00214B63" w:rsidP="00A01C0C">
            <w:pPr>
              <w:jc w:val="center"/>
              <w:rPr>
                <w:color w:val="auto"/>
                <w:sz w:val="27"/>
                <w:szCs w:val="27"/>
              </w:rPr>
            </w:pPr>
            <w:r w:rsidRPr="00E87CD9">
              <w:rPr>
                <w:color w:val="auto"/>
                <w:sz w:val="28"/>
                <w:szCs w:val="28"/>
              </w:rPr>
              <w:t>ОА + ГІТ</w:t>
            </w:r>
          </w:p>
          <w:p w:rsidR="00730B17" w:rsidRPr="00E87CD9" w:rsidRDefault="00730B17" w:rsidP="00A01C0C">
            <w:pPr>
              <w:jc w:val="center"/>
              <w:rPr>
                <w:color w:val="auto"/>
                <w:sz w:val="27"/>
                <w:szCs w:val="27"/>
              </w:rPr>
            </w:pPr>
            <w:r w:rsidRPr="00E87CD9">
              <w:rPr>
                <w:color w:val="auto"/>
                <w:sz w:val="27"/>
                <w:szCs w:val="27"/>
                <w:lang w:eastAsia="ru-RU"/>
              </w:rPr>
              <w:t>(n=10)</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2,30</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0,10</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2,10</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0,08</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2,22</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0,09</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2,27</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0,10</w:t>
            </w:r>
          </w:p>
        </w:tc>
        <w:tc>
          <w:tcPr>
            <w:tcW w:w="1078"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2,2</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0,11</w:t>
            </w:r>
          </w:p>
        </w:tc>
      </w:tr>
      <w:tr w:rsidR="00730B17" w:rsidRPr="00E87CD9" w:rsidTr="00730B17">
        <w:trPr>
          <w:trHeight w:val="553"/>
        </w:trPr>
        <w:tc>
          <w:tcPr>
            <w:tcW w:w="4265" w:type="dxa"/>
            <w:shd w:val="clear" w:color="auto" w:fill="auto"/>
            <w:vAlign w:val="center"/>
          </w:tcPr>
          <w:p w:rsidR="00730B17" w:rsidRPr="00E87CD9" w:rsidRDefault="00214B63" w:rsidP="00730B17">
            <w:pPr>
              <w:jc w:val="center"/>
              <w:rPr>
                <w:color w:val="auto"/>
                <w:sz w:val="27"/>
                <w:szCs w:val="27"/>
                <w:lang w:eastAsia="ru-RU"/>
              </w:rPr>
            </w:pPr>
            <w:r w:rsidRPr="00E87CD9">
              <w:rPr>
                <w:color w:val="auto"/>
                <w:sz w:val="28"/>
                <w:szCs w:val="28"/>
              </w:rPr>
              <w:t>ОА + ГІТ</w:t>
            </w:r>
            <w:r w:rsidR="00730B17" w:rsidRPr="00E87CD9">
              <w:rPr>
                <w:color w:val="auto"/>
                <w:sz w:val="27"/>
                <w:szCs w:val="27"/>
                <w:lang w:eastAsia="ru-RU"/>
              </w:rPr>
              <w:t xml:space="preserve">+Диклофенак натрію </w:t>
            </w:r>
          </w:p>
          <w:p w:rsidR="00730B17" w:rsidRPr="00E87CD9" w:rsidRDefault="00730B17" w:rsidP="00730B17">
            <w:pPr>
              <w:jc w:val="center"/>
              <w:rPr>
                <w:color w:val="auto"/>
                <w:sz w:val="27"/>
                <w:szCs w:val="27"/>
              </w:rPr>
            </w:pPr>
            <w:r w:rsidRPr="00E87CD9">
              <w:rPr>
                <w:color w:val="auto"/>
                <w:sz w:val="27"/>
                <w:szCs w:val="27"/>
                <w:lang w:eastAsia="ru-RU"/>
              </w:rPr>
              <w:t>10 мг/кг (n=10)</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2,18</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0,08</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3,62*</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0,12</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2,86*</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0,11</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3,27*</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0,09</w:t>
            </w:r>
          </w:p>
        </w:tc>
        <w:tc>
          <w:tcPr>
            <w:tcW w:w="1078"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3,58*</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0,08</w:t>
            </w:r>
          </w:p>
        </w:tc>
      </w:tr>
      <w:tr w:rsidR="00730B17" w:rsidRPr="00E87CD9" w:rsidTr="00730B17">
        <w:trPr>
          <w:trHeight w:val="547"/>
        </w:trPr>
        <w:tc>
          <w:tcPr>
            <w:tcW w:w="4265" w:type="dxa"/>
            <w:shd w:val="clear" w:color="auto" w:fill="auto"/>
            <w:vAlign w:val="center"/>
          </w:tcPr>
          <w:p w:rsidR="00730B17" w:rsidRPr="00E87CD9" w:rsidRDefault="00214B63" w:rsidP="00730B17">
            <w:pPr>
              <w:jc w:val="center"/>
              <w:rPr>
                <w:color w:val="auto"/>
                <w:sz w:val="27"/>
                <w:szCs w:val="27"/>
              </w:rPr>
            </w:pPr>
            <w:r w:rsidRPr="00E87CD9">
              <w:rPr>
                <w:color w:val="auto"/>
                <w:sz w:val="28"/>
                <w:szCs w:val="28"/>
              </w:rPr>
              <w:t>ОА + ГІТ</w:t>
            </w:r>
            <w:r w:rsidR="00730B17" w:rsidRPr="00E87CD9">
              <w:rPr>
                <w:color w:val="auto"/>
                <w:sz w:val="27"/>
                <w:szCs w:val="27"/>
              </w:rPr>
              <w:t>+ Хондроїтин сульфат</w:t>
            </w:r>
          </w:p>
          <w:p w:rsidR="00730B17" w:rsidRPr="00E87CD9" w:rsidRDefault="00730B17" w:rsidP="00730B17">
            <w:pPr>
              <w:jc w:val="center"/>
              <w:rPr>
                <w:color w:val="auto"/>
                <w:sz w:val="27"/>
                <w:szCs w:val="27"/>
              </w:rPr>
            </w:pPr>
            <w:r w:rsidRPr="00E87CD9">
              <w:rPr>
                <w:color w:val="auto"/>
                <w:sz w:val="27"/>
                <w:szCs w:val="27"/>
              </w:rPr>
              <w:t>35 мг/кг</w:t>
            </w:r>
            <w:r w:rsidRPr="00E87CD9">
              <w:rPr>
                <w:color w:val="auto"/>
                <w:sz w:val="27"/>
                <w:szCs w:val="27"/>
                <w:lang w:eastAsia="ru-RU"/>
              </w:rPr>
              <w:t xml:space="preserve"> (n=10)</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1,99</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0,07</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2,19</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0,30</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2.49*</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0,08</w:t>
            </w:r>
          </w:p>
        </w:tc>
        <w:tc>
          <w:tcPr>
            <w:tcW w:w="1077" w:type="dxa"/>
            <w:shd w:val="clear" w:color="auto" w:fill="auto"/>
            <w:vAlign w:val="center"/>
          </w:tcPr>
          <w:p w:rsidR="00730B17" w:rsidRPr="00E87CD9" w:rsidRDefault="00730B17" w:rsidP="00A01C0C">
            <w:pPr>
              <w:jc w:val="center"/>
              <w:rPr>
                <w:color w:val="auto"/>
                <w:sz w:val="27"/>
                <w:szCs w:val="27"/>
              </w:rPr>
            </w:pPr>
            <w:r w:rsidRPr="00E87CD9">
              <w:rPr>
                <w:rFonts w:eastAsia="Calibri"/>
                <w:iCs/>
                <w:color w:val="auto"/>
                <w:sz w:val="27"/>
                <w:szCs w:val="27"/>
              </w:rPr>
              <w:t>2,33</w:t>
            </w:r>
            <w:r w:rsidRPr="00E87CD9">
              <w:rPr>
                <w:color w:val="auto"/>
                <w:sz w:val="27"/>
                <w:szCs w:val="27"/>
                <w:lang w:eastAsia="ru-RU"/>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0,11</w:t>
            </w:r>
          </w:p>
        </w:tc>
        <w:tc>
          <w:tcPr>
            <w:tcW w:w="1078"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2,09</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0,27</w:t>
            </w:r>
          </w:p>
        </w:tc>
      </w:tr>
      <w:tr w:rsidR="00730B17" w:rsidRPr="00E87CD9" w:rsidTr="00730B17">
        <w:trPr>
          <w:trHeight w:val="427"/>
        </w:trPr>
        <w:tc>
          <w:tcPr>
            <w:tcW w:w="4265" w:type="dxa"/>
            <w:shd w:val="clear" w:color="auto" w:fill="auto"/>
            <w:vAlign w:val="center"/>
          </w:tcPr>
          <w:p w:rsidR="00730B17" w:rsidRPr="00E87CD9" w:rsidRDefault="00214B63" w:rsidP="00A01C0C">
            <w:pPr>
              <w:pStyle w:val="WW-"/>
              <w:spacing w:after="0" w:line="100" w:lineRule="atLeast"/>
              <w:jc w:val="center"/>
              <w:rPr>
                <w:rFonts w:ascii="Times New Roman" w:hAnsi="Times New Roman" w:cs="Times New Roman"/>
                <w:color w:val="auto"/>
                <w:sz w:val="27"/>
                <w:szCs w:val="27"/>
                <w:lang w:val="uk-UA"/>
              </w:rPr>
            </w:pPr>
            <w:r w:rsidRPr="00E87CD9">
              <w:rPr>
                <w:color w:val="auto"/>
                <w:sz w:val="28"/>
                <w:szCs w:val="28"/>
                <w:lang w:val="uk-UA"/>
              </w:rPr>
              <w:t>ОА</w:t>
            </w:r>
            <w:r w:rsidRPr="00E87CD9">
              <w:rPr>
                <w:color w:val="auto"/>
                <w:sz w:val="28"/>
                <w:szCs w:val="28"/>
              </w:rPr>
              <w:t> </w:t>
            </w:r>
            <w:r w:rsidRPr="00E87CD9">
              <w:rPr>
                <w:color w:val="auto"/>
                <w:sz w:val="28"/>
                <w:szCs w:val="28"/>
                <w:lang w:val="uk-UA"/>
              </w:rPr>
              <w:t>+</w:t>
            </w:r>
            <w:r w:rsidRPr="00E87CD9">
              <w:rPr>
                <w:color w:val="auto"/>
                <w:sz w:val="28"/>
                <w:szCs w:val="28"/>
              </w:rPr>
              <w:t> </w:t>
            </w:r>
            <w:r w:rsidRPr="00E87CD9">
              <w:rPr>
                <w:color w:val="auto"/>
                <w:sz w:val="28"/>
                <w:szCs w:val="28"/>
                <w:lang w:val="uk-UA"/>
              </w:rPr>
              <w:t>ГІТ</w:t>
            </w:r>
            <w:r w:rsidR="00730B17" w:rsidRPr="00E87CD9">
              <w:rPr>
                <w:rFonts w:ascii="Times New Roman" w:hAnsi="Times New Roman" w:cs="Times New Roman"/>
                <w:color w:val="auto"/>
                <w:sz w:val="27"/>
                <w:szCs w:val="27"/>
                <w:lang w:val="uk-UA"/>
              </w:rPr>
              <w:t xml:space="preserve">+ Диклофенак натрію </w:t>
            </w:r>
          </w:p>
          <w:p w:rsidR="00730B17" w:rsidRPr="00E87CD9" w:rsidRDefault="00730B17" w:rsidP="00A01C0C">
            <w:pPr>
              <w:pStyle w:val="WW-"/>
              <w:spacing w:after="0" w:line="100" w:lineRule="atLeast"/>
              <w:jc w:val="center"/>
              <w:rPr>
                <w:rFonts w:ascii="Times New Roman" w:hAnsi="Times New Roman" w:cs="Times New Roman"/>
                <w:color w:val="auto"/>
                <w:sz w:val="27"/>
                <w:szCs w:val="27"/>
                <w:lang w:val="uk-UA"/>
              </w:rPr>
            </w:pPr>
            <w:r w:rsidRPr="00E87CD9">
              <w:rPr>
                <w:rFonts w:ascii="Times New Roman" w:hAnsi="Times New Roman" w:cs="Times New Roman"/>
                <w:color w:val="auto"/>
                <w:sz w:val="27"/>
                <w:szCs w:val="27"/>
                <w:lang w:val="uk-UA"/>
              </w:rPr>
              <w:t xml:space="preserve">10 мг/ї кг + Хондроїтин сульфат </w:t>
            </w:r>
          </w:p>
          <w:p w:rsidR="00730B17" w:rsidRPr="00E87CD9" w:rsidRDefault="00730B17" w:rsidP="00A01C0C">
            <w:pPr>
              <w:pStyle w:val="WW-"/>
              <w:spacing w:after="0" w:line="100" w:lineRule="atLeast"/>
              <w:jc w:val="center"/>
              <w:rPr>
                <w:rFonts w:ascii="Times New Roman" w:hAnsi="Times New Roman" w:cs="Times New Roman"/>
                <w:color w:val="auto"/>
                <w:sz w:val="27"/>
                <w:szCs w:val="27"/>
                <w:lang w:val="uk-UA"/>
              </w:rPr>
            </w:pPr>
            <w:r w:rsidRPr="00E87CD9">
              <w:rPr>
                <w:rFonts w:ascii="Times New Roman" w:hAnsi="Times New Roman" w:cs="Times New Roman"/>
                <w:color w:val="auto"/>
                <w:sz w:val="27"/>
                <w:szCs w:val="27"/>
                <w:lang w:val="uk-UA"/>
              </w:rPr>
              <w:t xml:space="preserve">35 мг/кг + </w:t>
            </w:r>
            <w:r w:rsidRPr="00E87CD9">
              <w:rPr>
                <w:rFonts w:ascii="Times New Roman" w:hAnsi="Times New Roman" w:cs="Times New Roman"/>
                <w:color w:val="auto"/>
                <w:sz w:val="27"/>
                <w:szCs w:val="27"/>
              </w:rPr>
              <w:t>L</w:t>
            </w:r>
            <w:r w:rsidRPr="00E87CD9">
              <w:rPr>
                <w:rFonts w:ascii="Times New Roman" w:hAnsi="Times New Roman" w:cs="Times New Roman"/>
                <w:color w:val="auto"/>
                <w:sz w:val="27"/>
                <w:szCs w:val="27"/>
                <w:lang w:val="uk-UA"/>
              </w:rPr>
              <w:t xml:space="preserve">-тироксин </w:t>
            </w:r>
            <w:r w:rsidRPr="00E87CD9">
              <w:rPr>
                <w:rFonts w:ascii="Times New Roman" w:eastAsia="Times New Roman" w:hAnsi="Times New Roman" w:cs="Times New Roman"/>
                <w:color w:val="auto"/>
                <w:sz w:val="27"/>
                <w:szCs w:val="27"/>
                <w:lang w:val="uk-UA" w:eastAsia="ru-RU"/>
              </w:rPr>
              <w:t>(</w:t>
            </w:r>
            <w:r w:rsidRPr="00E87CD9">
              <w:rPr>
                <w:rFonts w:ascii="Times New Roman" w:eastAsia="Times New Roman" w:hAnsi="Times New Roman" w:cs="Times New Roman"/>
                <w:color w:val="auto"/>
                <w:sz w:val="27"/>
                <w:szCs w:val="27"/>
                <w:lang w:eastAsia="ru-RU"/>
              </w:rPr>
              <w:t>n</w:t>
            </w:r>
            <w:r w:rsidRPr="00E87CD9">
              <w:rPr>
                <w:rFonts w:ascii="Times New Roman" w:eastAsia="Times New Roman" w:hAnsi="Times New Roman" w:cs="Times New Roman"/>
                <w:color w:val="auto"/>
                <w:sz w:val="27"/>
                <w:szCs w:val="27"/>
                <w:lang w:val="uk-UA" w:eastAsia="ru-RU"/>
              </w:rPr>
              <w:t>=10)</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2,20</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0,12</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3,74*</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0,17</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4,86*</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0,19</w:t>
            </w:r>
          </w:p>
        </w:tc>
        <w:tc>
          <w:tcPr>
            <w:tcW w:w="1077"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5,98*</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0,19</w:t>
            </w:r>
          </w:p>
        </w:tc>
        <w:tc>
          <w:tcPr>
            <w:tcW w:w="1078" w:type="dxa"/>
            <w:shd w:val="clear" w:color="auto" w:fill="auto"/>
            <w:vAlign w:val="center"/>
          </w:tcPr>
          <w:p w:rsidR="00730B17" w:rsidRPr="00E87CD9" w:rsidRDefault="00730B17" w:rsidP="00A01C0C">
            <w:pPr>
              <w:jc w:val="center"/>
              <w:rPr>
                <w:color w:val="auto"/>
                <w:sz w:val="27"/>
                <w:szCs w:val="27"/>
              </w:rPr>
            </w:pPr>
            <w:r w:rsidRPr="00E87CD9">
              <w:rPr>
                <w:color w:val="auto"/>
                <w:sz w:val="27"/>
                <w:szCs w:val="27"/>
                <w:lang w:eastAsia="ru-RU"/>
              </w:rPr>
              <w:t>5,28*</w:t>
            </w:r>
            <w:r w:rsidRPr="00E87CD9">
              <w:rPr>
                <w:rFonts w:eastAsia="Calibri"/>
                <w:iCs/>
                <w:color w:val="auto"/>
                <w:sz w:val="27"/>
                <w:szCs w:val="27"/>
              </w:rPr>
              <w:t>¤</w:t>
            </w:r>
          </w:p>
          <w:p w:rsidR="00730B17" w:rsidRPr="00E87CD9" w:rsidRDefault="00730B17" w:rsidP="00A01C0C">
            <w:pPr>
              <w:jc w:val="center"/>
              <w:rPr>
                <w:color w:val="auto"/>
                <w:sz w:val="27"/>
                <w:szCs w:val="27"/>
              </w:rPr>
            </w:pPr>
            <w:r w:rsidRPr="00E87CD9">
              <w:rPr>
                <w:color w:val="auto"/>
                <w:sz w:val="27"/>
                <w:szCs w:val="27"/>
              </w:rPr>
              <w:t>±</w:t>
            </w:r>
            <w:r w:rsidRPr="00E87CD9">
              <w:rPr>
                <w:color w:val="auto"/>
                <w:sz w:val="27"/>
                <w:szCs w:val="27"/>
                <w:lang w:eastAsia="ru-RU"/>
              </w:rPr>
              <w:t>0,12*</w:t>
            </w:r>
          </w:p>
        </w:tc>
      </w:tr>
    </w:tbl>
    <w:p w:rsidR="006F0605" w:rsidRPr="00E87CD9" w:rsidRDefault="006F0605" w:rsidP="00730B17">
      <w:pPr>
        <w:spacing w:before="120"/>
        <w:ind w:firstLine="709"/>
        <w:jc w:val="both"/>
        <w:rPr>
          <w:bCs/>
          <w:iCs/>
          <w:color w:val="auto"/>
          <w:sz w:val="28"/>
          <w:szCs w:val="28"/>
        </w:rPr>
      </w:pPr>
      <w:r w:rsidRPr="00E87CD9">
        <w:rPr>
          <w:bCs/>
          <w:iCs/>
          <w:color w:val="auto"/>
          <w:sz w:val="28"/>
          <w:szCs w:val="28"/>
        </w:rPr>
        <w:t>Примітки:</w:t>
      </w:r>
      <w:r w:rsidRPr="00E87CD9">
        <w:rPr>
          <w:iCs/>
          <w:color w:val="auto"/>
          <w:sz w:val="28"/>
          <w:szCs w:val="28"/>
        </w:rPr>
        <w:t xml:space="preserve"> * - р</w:t>
      </w:r>
      <w:r w:rsidRPr="00E87CD9">
        <w:rPr>
          <w:rFonts w:eastAsia="Calibri"/>
          <w:iCs/>
          <w:color w:val="auto"/>
          <w:sz w:val="28"/>
          <w:szCs w:val="28"/>
        </w:rPr>
        <w:t>&lt;</w:t>
      </w:r>
      <w:r w:rsidRPr="00E87CD9">
        <w:rPr>
          <w:iCs/>
          <w:color w:val="auto"/>
          <w:sz w:val="28"/>
          <w:szCs w:val="28"/>
        </w:rPr>
        <w:t xml:space="preserve">0,05 по відношенню до початкової больової чутливості (ПБЧ) у вихідному стані (ВС); </w:t>
      </w:r>
      <w:r w:rsidRPr="00E87CD9">
        <w:rPr>
          <w:rFonts w:eastAsia="Calibri"/>
          <w:iCs/>
          <w:color w:val="auto"/>
          <w:sz w:val="28"/>
          <w:szCs w:val="28"/>
        </w:rPr>
        <w:t>¤ - р&lt;0,05 у порівнянні з показниками групи активного контролю (</w:t>
      </w:r>
      <w:r w:rsidR="00730B17" w:rsidRPr="00E87CD9">
        <w:rPr>
          <w:color w:val="auto"/>
          <w:sz w:val="28"/>
          <w:szCs w:val="28"/>
        </w:rPr>
        <w:t>ОА + ГІТ</w:t>
      </w:r>
      <w:r w:rsidRPr="00E87CD9">
        <w:rPr>
          <w:color w:val="auto"/>
          <w:sz w:val="28"/>
          <w:szCs w:val="28"/>
        </w:rPr>
        <w:t>).</w:t>
      </w:r>
    </w:p>
    <w:p w:rsidR="00417DC7" w:rsidRPr="00E87CD9" w:rsidRDefault="00417DC7" w:rsidP="00417DC7">
      <w:pPr>
        <w:ind w:firstLine="709"/>
        <w:jc w:val="both"/>
        <w:rPr>
          <w:color w:val="auto"/>
          <w:kern w:val="2"/>
          <w:sz w:val="28"/>
          <w:szCs w:val="28"/>
          <w:lang w:eastAsia="uk-UA" w:bidi="hi-IN"/>
        </w:rPr>
      </w:pPr>
    </w:p>
    <w:p w:rsidR="00417DC7" w:rsidRPr="00E87CD9" w:rsidRDefault="00417DC7" w:rsidP="00417DC7">
      <w:pPr>
        <w:ind w:firstLine="709"/>
        <w:jc w:val="right"/>
        <w:rPr>
          <w:color w:val="auto"/>
          <w:sz w:val="28"/>
          <w:szCs w:val="28"/>
        </w:rPr>
      </w:pPr>
      <w:r w:rsidRPr="00E87CD9">
        <w:rPr>
          <w:i/>
          <w:color w:val="auto"/>
          <w:sz w:val="28"/>
          <w:szCs w:val="28"/>
          <w:lang w:eastAsia="ru-RU"/>
        </w:rPr>
        <w:t>Таблиця 2</w:t>
      </w:r>
    </w:p>
    <w:p w:rsidR="00417DC7" w:rsidRPr="00E87CD9" w:rsidRDefault="00417DC7" w:rsidP="00214B63">
      <w:pPr>
        <w:jc w:val="center"/>
        <w:rPr>
          <w:b/>
          <w:bCs/>
          <w:color w:val="auto"/>
          <w:sz w:val="28"/>
          <w:szCs w:val="28"/>
        </w:rPr>
      </w:pPr>
      <w:r w:rsidRPr="00E87CD9">
        <w:rPr>
          <w:b/>
          <w:bCs/>
          <w:color w:val="auto"/>
          <w:sz w:val="28"/>
          <w:szCs w:val="28"/>
          <w:lang w:eastAsia="ru-RU"/>
        </w:rPr>
        <w:t>Показники больового порогу в тесті термоподразнення хвоста щура</w:t>
      </w:r>
      <w:r w:rsidRPr="00E87CD9">
        <w:rPr>
          <w:b/>
          <w:bCs/>
          <w:color w:val="auto"/>
          <w:sz w:val="28"/>
          <w:szCs w:val="28"/>
        </w:rPr>
        <w:t xml:space="preserve"> за умов коморбідної патології при призначен</w:t>
      </w:r>
      <w:r w:rsidR="00214B63" w:rsidRPr="00E87CD9">
        <w:rPr>
          <w:b/>
          <w:bCs/>
          <w:color w:val="auto"/>
          <w:sz w:val="28"/>
          <w:szCs w:val="28"/>
        </w:rPr>
        <w:t>н</w:t>
      </w:r>
      <w:r w:rsidRPr="00E87CD9">
        <w:rPr>
          <w:b/>
          <w:bCs/>
          <w:color w:val="auto"/>
          <w:sz w:val="28"/>
          <w:szCs w:val="28"/>
        </w:rPr>
        <w:t>і комбінації ЛЗ</w:t>
      </w:r>
    </w:p>
    <w:tbl>
      <w:tblPr>
        <w:tblW w:w="965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8"/>
        <w:gridCol w:w="1020"/>
        <w:gridCol w:w="1021"/>
        <w:gridCol w:w="1020"/>
        <w:gridCol w:w="1021"/>
        <w:gridCol w:w="1021"/>
      </w:tblGrid>
      <w:tr w:rsidR="00214B63" w:rsidRPr="00E87CD9" w:rsidTr="00214B63">
        <w:trPr>
          <w:trHeight w:val="23"/>
        </w:trPr>
        <w:tc>
          <w:tcPr>
            <w:tcW w:w="4548" w:type="dxa"/>
            <w:vMerge w:val="restart"/>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Групи тварин</w:t>
            </w:r>
          </w:p>
          <w:p w:rsidR="00214B63" w:rsidRPr="00E87CD9" w:rsidRDefault="00214B63" w:rsidP="00A01C0C">
            <w:pPr>
              <w:jc w:val="center"/>
              <w:rPr>
                <w:b/>
                <w:color w:val="auto"/>
                <w:sz w:val="27"/>
                <w:szCs w:val="27"/>
              </w:rPr>
            </w:pPr>
            <w:r w:rsidRPr="00E87CD9">
              <w:rPr>
                <w:b/>
                <w:color w:val="auto"/>
                <w:sz w:val="27"/>
                <w:szCs w:val="27"/>
                <w:lang w:eastAsia="ru-RU"/>
              </w:rPr>
              <w:t xml:space="preserve">(n=40) </w:t>
            </w:r>
          </w:p>
        </w:tc>
        <w:tc>
          <w:tcPr>
            <w:tcW w:w="5103" w:type="dxa"/>
            <w:gridSpan w:val="5"/>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 xml:space="preserve">Первинна захисна реакція, сек, </w:t>
            </w:r>
            <w:r w:rsidRPr="00E87CD9">
              <w:rPr>
                <w:b/>
                <w:color w:val="auto"/>
                <w:sz w:val="28"/>
                <w:szCs w:val="28"/>
              </w:rPr>
              <w:t>M±m</w:t>
            </w:r>
          </w:p>
        </w:tc>
      </w:tr>
      <w:tr w:rsidR="00214B63" w:rsidRPr="00E87CD9" w:rsidTr="00214B63">
        <w:trPr>
          <w:trHeight w:val="23"/>
        </w:trPr>
        <w:tc>
          <w:tcPr>
            <w:tcW w:w="4548" w:type="dxa"/>
            <w:vMerge/>
            <w:shd w:val="clear" w:color="auto" w:fill="auto"/>
          </w:tcPr>
          <w:p w:rsidR="00214B63" w:rsidRPr="00E87CD9" w:rsidRDefault="00214B63" w:rsidP="00A01C0C">
            <w:pPr>
              <w:snapToGrid w:val="0"/>
              <w:rPr>
                <w:b/>
                <w:color w:val="auto"/>
                <w:sz w:val="27"/>
                <w:szCs w:val="27"/>
                <w:lang w:eastAsia="ru-RU"/>
              </w:rPr>
            </w:pPr>
          </w:p>
        </w:tc>
        <w:tc>
          <w:tcPr>
            <w:tcW w:w="1020" w:type="dxa"/>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 xml:space="preserve">ВС </w:t>
            </w:r>
          </w:p>
        </w:tc>
        <w:tc>
          <w:tcPr>
            <w:tcW w:w="1021" w:type="dxa"/>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 xml:space="preserve">30 хв </w:t>
            </w:r>
          </w:p>
        </w:tc>
        <w:tc>
          <w:tcPr>
            <w:tcW w:w="1020" w:type="dxa"/>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 xml:space="preserve">60 хв </w:t>
            </w:r>
          </w:p>
        </w:tc>
        <w:tc>
          <w:tcPr>
            <w:tcW w:w="1021" w:type="dxa"/>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 xml:space="preserve">90 хв </w:t>
            </w:r>
          </w:p>
        </w:tc>
        <w:tc>
          <w:tcPr>
            <w:tcW w:w="1021" w:type="dxa"/>
            <w:shd w:val="clear" w:color="auto" w:fill="auto"/>
          </w:tcPr>
          <w:p w:rsidR="00214B63" w:rsidRPr="00E87CD9" w:rsidRDefault="00214B63" w:rsidP="00A01C0C">
            <w:pPr>
              <w:jc w:val="center"/>
              <w:rPr>
                <w:b/>
                <w:color w:val="auto"/>
                <w:sz w:val="27"/>
                <w:szCs w:val="27"/>
              </w:rPr>
            </w:pPr>
            <w:r w:rsidRPr="00E87CD9">
              <w:rPr>
                <w:b/>
                <w:color w:val="auto"/>
                <w:sz w:val="27"/>
                <w:szCs w:val="27"/>
                <w:lang w:eastAsia="ru-RU"/>
              </w:rPr>
              <w:t xml:space="preserve">120 хв </w:t>
            </w:r>
          </w:p>
        </w:tc>
      </w:tr>
      <w:tr w:rsidR="00214B63" w:rsidRPr="00E87CD9" w:rsidTr="00214B63">
        <w:trPr>
          <w:trHeight w:val="23"/>
        </w:trPr>
        <w:tc>
          <w:tcPr>
            <w:tcW w:w="4548" w:type="dxa"/>
            <w:shd w:val="clear" w:color="auto" w:fill="auto"/>
          </w:tcPr>
          <w:p w:rsidR="00214B63" w:rsidRPr="00E87CD9" w:rsidRDefault="00214B63" w:rsidP="00A01C0C">
            <w:pPr>
              <w:jc w:val="center"/>
              <w:rPr>
                <w:color w:val="auto"/>
                <w:sz w:val="27"/>
                <w:szCs w:val="27"/>
              </w:rPr>
            </w:pPr>
            <w:r w:rsidRPr="00E87CD9">
              <w:rPr>
                <w:color w:val="auto"/>
                <w:sz w:val="27"/>
                <w:szCs w:val="27"/>
              </w:rPr>
              <w:t xml:space="preserve">Група </w:t>
            </w:r>
            <w:r w:rsidRPr="00E87CD9">
              <w:rPr>
                <w:color w:val="auto"/>
                <w:sz w:val="28"/>
                <w:szCs w:val="28"/>
              </w:rPr>
              <w:t>ОА + ГІТ</w:t>
            </w:r>
          </w:p>
          <w:p w:rsidR="00214B63" w:rsidRPr="00E87CD9" w:rsidRDefault="00214B63" w:rsidP="00A01C0C">
            <w:pPr>
              <w:jc w:val="center"/>
              <w:rPr>
                <w:color w:val="auto"/>
                <w:sz w:val="27"/>
                <w:szCs w:val="27"/>
              </w:rPr>
            </w:pPr>
            <w:r w:rsidRPr="00E87CD9">
              <w:rPr>
                <w:color w:val="auto"/>
                <w:sz w:val="27"/>
                <w:szCs w:val="27"/>
              </w:rPr>
              <w:t>(n=10)</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4,3</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0,3</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4,5</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0,3</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4,4</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0,2</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4,3</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0,4</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4,7</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0,4</w:t>
            </w:r>
          </w:p>
        </w:tc>
      </w:tr>
      <w:tr w:rsidR="00214B63" w:rsidRPr="00E87CD9" w:rsidTr="00214B63">
        <w:trPr>
          <w:trHeight w:val="23"/>
        </w:trPr>
        <w:tc>
          <w:tcPr>
            <w:tcW w:w="4548" w:type="dxa"/>
            <w:shd w:val="clear" w:color="auto" w:fill="auto"/>
          </w:tcPr>
          <w:p w:rsidR="00214B63" w:rsidRPr="00E87CD9" w:rsidRDefault="00214B63" w:rsidP="00A01C0C">
            <w:pPr>
              <w:pStyle w:val="WW-"/>
              <w:spacing w:after="0" w:line="100" w:lineRule="atLeast"/>
              <w:jc w:val="center"/>
              <w:rPr>
                <w:rFonts w:ascii="Times New Roman" w:hAnsi="Times New Roman" w:cs="Times New Roman"/>
                <w:color w:val="auto"/>
                <w:sz w:val="27"/>
                <w:szCs w:val="27"/>
                <w:lang w:val="uk-UA"/>
              </w:rPr>
            </w:pPr>
            <w:r w:rsidRPr="00E87CD9">
              <w:rPr>
                <w:color w:val="auto"/>
                <w:sz w:val="28"/>
                <w:szCs w:val="28"/>
                <w:lang w:val="uk-UA"/>
              </w:rPr>
              <w:t>ОА</w:t>
            </w:r>
            <w:r w:rsidRPr="00E87CD9">
              <w:rPr>
                <w:color w:val="auto"/>
                <w:sz w:val="28"/>
                <w:szCs w:val="28"/>
              </w:rPr>
              <w:t> </w:t>
            </w:r>
            <w:r w:rsidRPr="00E87CD9">
              <w:rPr>
                <w:color w:val="auto"/>
                <w:sz w:val="28"/>
                <w:szCs w:val="28"/>
                <w:lang w:val="uk-UA"/>
              </w:rPr>
              <w:t>+</w:t>
            </w:r>
            <w:r w:rsidRPr="00E87CD9">
              <w:rPr>
                <w:color w:val="auto"/>
                <w:sz w:val="28"/>
                <w:szCs w:val="28"/>
              </w:rPr>
              <w:t> </w:t>
            </w:r>
            <w:r w:rsidRPr="00E87CD9">
              <w:rPr>
                <w:color w:val="auto"/>
                <w:sz w:val="28"/>
                <w:szCs w:val="28"/>
                <w:lang w:val="uk-UA"/>
              </w:rPr>
              <w:t>ГІТ</w:t>
            </w:r>
            <w:r w:rsidRPr="00E87CD9">
              <w:rPr>
                <w:rFonts w:ascii="Times New Roman" w:hAnsi="Times New Roman" w:cs="Times New Roman"/>
                <w:color w:val="auto"/>
                <w:sz w:val="27"/>
                <w:szCs w:val="27"/>
                <w:lang w:val="uk-UA"/>
              </w:rPr>
              <w:t xml:space="preserve"> + Диклофенак натрію</w:t>
            </w:r>
          </w:p>
          <w:p w:rsidR="00214B63" w:rsidRPr="00E87CD9" w:rsidRDefault="00214B63" w:rsidP="00A01C0C">
            <w:pPr>
              <w:pStyle w:val="WW-"/>
              <w:spacing w:after="0" w:line="100" w:lineRule="atLeast"/>
              <w:jc w:val="center"/>
              <w:rPr>
                <w:rFonts w:ascii="Times New Roman" w:hAnsi="Times New Roman" w:cs="Times New Roman"/>
                <w:color w:val="auto"/>
                <w:sz w:val="27"/>
                <w:szCs w:val="27"/>
                <w:lang w:val="uk-UA"/>
              </w:rPr>
            </w:pPr>
            <w:r w:rsidRPr="00E87CD9">
              <w:rPr>
                <w:rFonts w:ascii="Times New Roman" w:hAnsi="Times New Roman" w:cs="Times New Roman"/>
                <w:color w:val="auto"/>
                <w:sz w:val="27"/>
                <w:szCs w:val="27"/>
                <w:lang w:val="uk-UA"/>
              </w:rPr>
              <w:t xml:space="preserve">10 мг/ кг </w:t>
            </w:r>
            <w:r w:rsidRPr="00E87CD9">
              <w:rPr>
                <w:rFonts w:ascii="Times New Roman" w:eastAsia="Times New Roman" w:hAnsi="Times New Roman" w:cs="Times New Roman"/>
                <w:color w:val="auto"/>
                <w:sz w:val="27"/>
                <w:szCs w:val="27"/>
                <w:lang w:val="uk-UA" w:eastAsia="ru-RU"/>
              </w:rPr>
              <w:t>(</w:t>
            </w:r>
            <w:r w:rsidRPr="00E87CD9">
              <w:rPr>
                <w:rFonts w:ascii="Times New Roman" w:eastAsia="Times New Roman" w:hAnsi="Times New Roman" w:cs="Times New Roman"/>
                <w:color w:val="auto"/>
                <w:sz w:val="27"/>
                <w:szCs w:val="27"/>
                <w:lang w:eastAsia="ru-RU"/>
              </w:rPr>
              <w:t>n</w:t>
            </w:r>
            <w:r w:rsidRPr="00E87CD9">
              <w:rPr>
                <w:rFonts w:ascii="Times New Roman" w:eastAsia="Times New Roman" w:hAnsi="Times New Roman" w:cs="Times New Roman"/>
                <w:color w:val="auto"/>
                <w:sz w:val="27"/>
                <w:szCs w:val="27"/>
                <w:lang w:val="uk-UA" w:eastAsia="ru-RU"/>
              </w:rPr>
              <w:t>=10)</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4,6</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0,7</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5,6</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0,9</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6,7*</w:t>
            </w:r>
            <w:r w:rsidRPr="00E87CD9">
              <w:rPr>
                <w:rFonts w:eastAsia="Calibri"/>
                <w:iCs/>
                <w:color w:val="auto"/>
                <w:sz w:val="27"/>
                <w:szCs w:val="27"/>
              </w:rPr>
              <w:t>¤</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0,6</w:t>
            </w:r>
          </w:p>
        </w:tc>
        <w:tc>
          <w:tcPr>
            <w:tcW w:w="1021" w:type="dxa"/>
            <w:shd w:val="clear" w:color="auto" w:fill="auto"/>
            <w:vAlign w:val="center"/>
          </w:tcPr>
          <w:p w:rsidR="00214B63" w:rsidRPr="00E87CD9" w:rsidRDefault="00214B63" w:rsidP="00A01C0C">
            <w:pPr>
              <w:jc w:val="center"/>
              <w:rPr>
                <w:rFonts w:eastAsia="Calibri"/>
                <w:iCs/>
                <w:color w:val="auto"/>
                <w:sz w:val="27"/>
                <w:szCs w:val="27"/>
              </w:rPr>
            </w:pPr>
            <w:r w:rsidRPr="00E87CD9">
              <w:rPr>
                <w:color w:val="auto"/>
                <w:sz w:val="27"/>
                <w:szCs w:val="27"/>
                <w:lang w:eastAsia="ru-RU"/>
              </w:rPr>
              <w:t>7,68*</w:t>
            </w:r>
            <w:r w:rsidRPr="00E87CD9">
              <w:rPr>
                <w:rFonts w:eastAsia="Calibri"/>
                <w:iCs/>
                <w:color w:val="auto"/>
                <w:sz w:val="27"/>
                <w:szCs w:val="27"/>
              </w:rPr>
              <w:t>¤</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0,3</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5,5</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0,5</w:t>
            </w:r>
          </w:p>
        </w:tc>
      </w:tr>
      <w:tr w:rsidR="00214B63" w:rsidRPr="00E87CD9" w:rsidTr="00214B63">
        <w:trPr>
          <w:trHeight w:val="23"/>
        </w:trPr>
        <w:tc>
          <w:tcPr>
            <w:tcW w:w="4548" w:type="dxa"/>
            <w:shd w:val="clear" w:color="auto" w:fill="auto"/>
          </w:tcPr>
          <w:p w:rsidR="00214B63" w:rsidRPr="00E87CD9" w:rsidRDefault="00214B63" w:rsidP="00A01C0C">
            <w:pPr>
              <w:jc w:val="center"/>
              <w:rPr>
                <w:color w:val="auto"/>
                <w:sz w:val="27"/>
                <w:szCs w:val="27"/>
              </w:rPr>
            </w:pPr>
            <w:r w:rsidRPr="00E87CD9">
              <w:rPr>
                <w:color w:val="auto"/>
                <w:sz w:val="28"/>
                <w:szCs w:val="28"/>
              </w:rPr>
              <w:t>ОА + ГІТ</w:t>
            </w:r>
            <w:r w:rsidRPr="00E87CD9">
              <w:rPr>
                <w:color w:val="auto"/>
                <w:sz w:val="27"/>
                <w:szCs w:val="27"/>
              </w:rPr>
              <w:t xml:space="preserve"> + Хондроїтин сульфат</w:t>
            </w:r>
          </w:p>
          <w:p w:rsidR="00214B63" w:rsidRPr="00E87CD9" w:rsidRDefault="00214B63" w:rsidP="00A01C0C">
            <w:pPr>
              <w:jc w:val="center"/>
              <w:rPr>
                <w:color w:val="auto"/>
                <w:sz w:val="27"/>
                <w:szCs w:val="27"/>
              </w:rPr>
            </w:pPr>
            <w:r w:rsidRPr="00E87CD9">
              <w:rPr>
                <w:color w:val="auto"/>
                <w:sz w:val="27"/>
                <w:szCs w:val="27"/>
              </w:rPr>
              <w:t>35 мг/кг</w:t>
            </w:r>
            <w:r w:rsidRPr="00E87CD9">
              <w:rPr>
                <w:color w:val="auto"/>
                <w:sz w:val="27"/>
                <w:szCs w:val="27"/>
                <w:lang w:eastAsia="ru-RU"/>
              </w:rPr>
              <w:t xml:space="preserve">  (n=10)</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4,2</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0,3</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4,6</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0,6</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5,0*</w:t>
            </w:r>
          </w:p>
          <w:p w:rsidR="00214B63" w:rsidRPr="00E87CD9" w:rsidRDefault="00214B63" w:rsidP="00A01C0C">
            <w:pPr>
              <w:jc w:val="center"/>
              <w:rPr>
                <w:color w:val="auto"/>
                <w:sz w:val="27"/>
                <w:szCs w:val="27"/>
                <w:lang w:eastAsia="ru-RU"/>
              </w:rPr>
            </w:pPr>
            <w:r w:rsidRPr="00E87CD9">
              <w:rPr>
                <w:color w:val="auto"/>
                <w:sz w:val="27"/>
                <w:szCs w:val="27"/>
              </w:rPr>
              <w:t>±</w:t>
            </w:r>
            <w:r w:rsidRPr="00E87CD9">
              <w:rPr>
                <w:color w:val="auto"/>
                <w:sz w:val="27"/>
                <w:szCs w:val="27"/>
                <w:lang w:eastAsia="ru-RU"/>
              </w:rPr>
              <w:t>0,2</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4,6</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0,5</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4,5</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0,6</w:t>
            </w:r>
          </w:p>
        </w:tc>
      </w:tr>
      <w:tr w:rsidR="00214B63" w:rsidRPr="00E87CD9" w:rsidTr="00214B63">
        <w:trPr>
          <w:trHeight w:val="23"/>
        </w:trPr>
        <w:tc>
          <w:tcPr>
            <w:tcW w:w="4548" w:type="dxa"/>
            <w:shd w:val="clear" w:color="auto" w:fill="auto"/>
          </w:tcPr>
          <w:p w:rsidR="00214B63" w:rsidRPr="00E87CD9" w:rsidRDefault="00214B63" w:rsidP="00A01C0C">
            <w:pPr>
              <w:pStyle w:val="WW-"/>
              <w:spacing w:after="0" w:line="100" w:lineRule="atLeast"/>
              <w:jc w:val="center"/>
              <w:rPr>
                <w:rFonts w:ascii="Times New Roman" w:hAnsi="Times New Roman" w:cs="Times New Roman"/>
                <w:color w:val="auto"/>
                <w:sz w:val="27"/>
                <w:szCs w:val="27"/>
                <w:lang w:val="uk-UA"/>
              </w:rPr>
            </w:pPr>
            <w:r w:rsidRPr="00E87CD9">
              <w:rPr>
                <w:color w:val="auto"/>
                <w:sz w:val="28"/>
                <w:szCs w:val="28"/>
                <w:lang w:val="uk-UA"/>
              </w:rPr>
              <w:t>ОА</w:t>
            </w:r>
            <w:r w:rsidRPr="00E87CD9">
              <w:rPr>
                <w:color w:val="auto"/>
                <w:sz w:val="28"/>
                <w:szCs w:val="28"/>
              </w:rPr>
              <w:t> </w:t>
            </w:r>
            <w:r w:rsidRPr="00E87CD9">
              <w:rPr>
                <w:color w:val="auto"/>
                <w:sz w:val="28"/>
                <w:szCs w:val="28"/>
                <w:lang w:val="uk-UA"/>
              </w:rPr>
              <w:t>+</w:t>
            </w:r>
            <w:r w:rsidRPr="00E87CD9">
              <w:rPr>
                <w:color w:val="auto"/>
                <w:sz w:val="28"/>
                <w:szCs w:val="28"/>
              </w:rPr>
              <w:t> </w:t>
            </w:r>
            <w:r w:rsidRPr="00E87CD9">
              <w:rPr>
                <w:color w:val="auto"/>
                <w:sz w:val="28"/>
                <w:szCs w:val="28"/>
                <w:lang w:val="uk-UA"/>
              </w:rPr>
              <w:t>ГІТ</w:t>
            </w:r>
            <w:r w:rsidRPr="00E87CD9">
              <w:rPr>
                <w:rFonts w:ascii="Times New Roman" w:hAnsi="Times New Roman" w:cs="Times New Roman"/>
                <w:color w:val="auto"/>
                <w:sz w:val="27"/>
                <w:szCs w:val="27"/>
                <w:lang w:val="uk-UA"/>
              </w:rPr>
              <w:t xml:space="preserve"> + Диклофенак натрію</w:t>
            </w:r>
          </w:p>
          <w:p w:rsidR="00214B63" w:rsidRPr="00E87CD9" w:rsidRDefault="00214B63" w:rsidP="00A01C0C">
            <w:pPr>
              <w:pStyle w:val="WW-"/>
              <w:spacing w:after="0" w:line="100" w:lineRule="atLeast"/>
              <w:jc w:val="center"/>
              <w:rPr>
                <w:rFonts w:ascii="Times New Roman" w:hAnsi="Times New Roman" w:cs="Times New Roman"/>
                <w:color w:val="auto"/>
                <w:sz w:val="27"/>
                <w:szCs w:val="27"/>
                <w:lang w:val="uk-UA"/>
              </w:rPr>
            </w:pPr>
            <w:r w:rsidRPr="00E87CD9">
              <w:rPr>
                <w:rFonts w:ascii="Times New Roman" w:hAnsi="Times New Roman" w:cs="Times New Roman"/>
                <w:color w:val="auto"/>
                <w:sz w:val="27"/>
                <w:szCs w:val="27"/>
                <w:lang w:val="uk-UA"/>
              </w:rPr>
              <w:t>10 мг/ кг + Хондроїтин сульфат</w:t>
            </w:r>
          </w:p>
          <w:p w:rsidR="00214B63" w:rsidRPr="00E87CD9" w:rsidRDefault="00214B63" w:rsidP="00A01C0C">
            <w:pPr>
              <w:jc w:val="center"/>
              <w:rPr>
                <w:color w:val="auto"/>
                <w:sz w:val="27"/>
                <w:szCs w:val="27"/>
              </w:rPr>
            </w:pPr>
            <w:r w:rsidRPr="00E87CD9">
              <w:rPr>
                <w:color w:val="auto"/>
                <w:sz w:val="27"/>
                <w:szCs w:val="27"/>
              </w:rPr>
              <w:t xml:space="preserve">35 мг/кг + L-тироксин </w:t>
            </w:r>
            <w:r w:rsidRPr="00E87CD9">
              <w:rPr>
                <w:color w:val="auto"/>
                <w:sz w:val="27"/>
                <w:szCs w:val="27"/>
                <w:lang w:eastAsia="ru-RU"/>
              </w:rPr>
              <w:t>(n=10)</w:t>
            </w:r>
          </w:p>
        </w:tc>
        <w:tc>
          <w:tcPr>
            <w:tcW w:w="1020"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4,1</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0,4</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4,9</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0,8</w:t>
            </w:r>
          </w:p>
        </w:tc>
        <w:tc>
          <w:tcPr>
            <w:tcW w:w="1020" w:type="dxa"/>
            <w:shd w:val="clear" w:color="auto" w:fill="auto"/>
            <w:vAlign w:val="center"/>
          </w:tcPr>
          <w:p w:rsidR="00214B63" w:rsidRPr="00E87CD9" w:rsidRDefault="00214B63" w:rsidP="00A01C0C">
            <w:pPr>
              <w:snapToGrid w:val="0"/>
              <w:jc w:val="center"/>
              <w:rPr>
                <w:color w:val="auto"/>
                <w:sz w:val="27"/>
                <w:szCs w:val="27"/>
                <w:highlight w:val="yellow"/>
                <w:lang w:eastAsia="ru-RU"/>
              </w:rPr>
            </w:pPr>
            <w:r w:rsidRPr="00E87CD9">
              <w:rPr>
                <w:color w:val="auto"/>
                <w:sz w:val="27"/>
                <w:szCs w:val="27"/>
                <w:lang w:eastAsia="ru-RU"/>
              </w:rPr>
              <w:t>7,1*</w:t>
            </w:r>
            <w:r w:rsidRPr="00E87CD9">
              <w:rPr>
                <w:rFonts w:eastAsia="Calibri"/>
                <w:iCs/>
                <w:color w:val="auto"/>
                <w:sz w:val="27"/>
                <w:szCs w:val="27"/>
              </w:rPr>
              <w:t>¤</w:t>
            </w:r>
          </w:p>
          <w:p w:rsidR="00214B63" w:rsidRPr="00E87CD9" w:rsidRDefault="00214B63" w:rsidP="00A01C0C">
            <w:pPr>
              <w:snapToGrid w:val="0"/>
              <w:jc w:val="center"/>
              <w:rPr>
                <w:color w:val="auto"/>
                <w:sz w:val="27"/>
                <w:szCs w:val="27"/>
                <w:lang w:eastAsia="ru-RU"/>
              </w:rPr>
            </w:pPr>
            <w:r w:rsidRPr="00E87CD9">
              <w:rPr>
                <w:color w:val="auto"/>
                <w:sz w:val="27"/>
                <w:szCs w:val="27"/>
              </w:rPr>
              <w:t>±0,4</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7,4*</w:t>
            </w:r>
            <w:r w:rsidRPr="00E87CD9">
              <w:rPr>
                <w:rFonts w:eastAsia="Calibri"/>
                <w:iCs/>
                <w:color w:val="auto"/>
                <w:sz w:val="27"/>
                <w:szCs w:val="27"/>
              </w:rPr>
              <w:t>¤</w:t>
            </w:r>
          </w:p>
          <w:p w:rsidR="00214B63" w:rsidRPr="00E87CD9" w:rsidRDefault="00214B63" w:rsidP="00A01C0C">
            <w:pPr>
              <w:jc w:val="center"/>
              <w:rPr>
                <w:color w:val="auto"/>
                <w:sz w:val="27"/>
                <w:szCs w:val="27"/>
              </w:rPr>
            </w:pPr>
            <w:r w:rsidRPr="00E87CD9">
              <w:rPr>
                <w:color w:val="auto"/>
                <w:sz w:val="27"/>
                <w:szCs w:val="27"/>
              </w:rPr>
              <w:t>±</w:t>
            </w:r>
            <w:r w:rsidRPr="00E87CD9">
              <w:rPr>
                <w:color w:val="auto"/>
                <w:sz w:val="27"/>
                <w:szCs w:val="27"/>
                <w:lang w:eastAsia="ru-RU"/>
              </w:rPr>
              <w:t>0,3</w:t>
            </w:r>
          </w:p>
        </w:tc>
        <w:tc>
          <w:tcPr>
            <w:tcW w:w="1021" w:type="dxa"/>
            <w:shd w:val="clear" w:color="auto" w:fill="auto"/>
            <w:vAlign w:val="center"/>
          </w:tcPr>
          <w:p w:rsidR="00214B63" w:rsidRPr="00E87CD9" w:rsidRDefault="00214B63" w:rsidP="00A01C0C">
            <w:pPr>
              <w:jc w:val="center"/>
              <w:rPr>
                <w:color w:val="auto"/>
                <w:sz w:val="27"/>
                <w:szCs w:val="27"/>
              </w:rPr>
            </w:pPr>
            <w:r w:rsidRPr="00E87CD9">
              <w:rPr>
                <w:color w:val="auto"/>
                <w:sz w:val="27"/>
                <w:szCs w:val="27"/>
                <w:lang w:eastAsia="ru-RU"/>
              </w:rPr>
              <w:t>5,4*</w:t>
            </w:r>
          </w:p>
          <w:p w:rsidR="00214B63" w:rsidRPr="00E87CD9" w:rsidRDefault="00214B63" w:rsidP="00A01C0C">
            <w:pPr>
              <w:jc w:val="center"/>
              <w:rPr>
                <w:color w:val="auto"/>
                <w:sz w:val="27"/>
                <w:szCs w:val="27"/>
                <w:lang w:eastAsia="ru-RU"/>
              </w:rPr>
            </w:pPr>
            <w:r w:rsidRPr="00E87CD9">
              <w:rPr>
                <w:color w:val="auto"/>
                <w:sz w:val="27"/>
                <w:szCs w:val="27"/>
              </w:rPr>
              <w:t>±</w:t>
            </w:r>
            <w:r w:rsidRPr="00E87CD9">
              <w:rPr>
                <w:color w:val="auto"/>
                <w:sz w:val="27"/>
                <w:szCs w:val="27"/>
                <w:lang w:eastAsia="ru-RU"/>
              </w:rPr>
              <w:t>0,3</w:t>
            </w:r>
          </w:p>
        </w:tc>
      </w:tr>
    </w:tbl>
    <w:p w:rsidR="00417DC7" w:rsidRPr="00E87CD9" w:rsidRDefault="00417DC7" w:rsidP="00214B63">
      <w:pPr>
        <w:spacing w:before="120"/>
        <w:ind w:firstLine="709"/>
        <w:jc w:val="both"/>
        <w:rPr>
          <w:color w:val="auto"/>
          <w:sz w:val="28"/>
          <w:szCs w:val="28"/>
        </w:rPr>
      </w:pPr>
      <w:r w:rsidRPr="00E87CD9">
        <w:rPr>
          <w:bCs/>
          <w:iCs/>
          <w:color w:val="auto"/>
          <w:sz w:val="28"/>
          <w:szCs w:val="28"/>
        </w:rPr>
        <w:t>Примітк</w:t>
      </w:r>
      <w:r w:rsidR="00B23BF9" w:rsidRPr="00E87CD9">
        <w:rPr>
          <w:bCs/>
          <w:iCs/>
          <w:color w:val="auto"/>
          <w:sz w:val="28"/>
          <w:szCs w:val="28"/>
        </w:rPr>
        <w:t>и</w:t>
      </w:r>
      <w:r w:rsidRPr="00E87CD9">
        <w:rPr>
          <w:bCs/>
          <w:iCs/>
          <w:color w:val="auto"/>
          <w:sz w:val="28"/>
          <w:szCs w:val="28"/>
        </w:rPr>
        <w:t>:</w:t>
      </w:r>
      <w:r w:rsidRPr="00E87CD9">
        <w:rPr>
          <w:iCs/>
          <w:color w:val="auto"/>
          <w:sz w:val="28"/>
          <w:szCs w:val="28"/>
        </w:rPr>
        <w:t xml:space="preserve"> * - р</w:t>
      </w:r>
      <w:r w:rsidR="0096394B" w:rsidRPr="00E87CD9">
        <w:rPr>
          <w:color w:val="auto"/>
          <w:sz w:val="28"/>
          <w:szCs w:val="28"/>
          <w:lang w:eastAsia="ru-RU"/>
        </w:rPr>
        <w:t>&lt;</w:t>
      </w:r>
      <w:r w:rsidRPr="00E87CD9">
        <w:rPr>
          <w:iCs/>
          <w:color w:val="auto"/>
          <w:sz w:val="28"/>
          <w:szCs w:val="28"/>
        </w:rPr>
        <w:t>0,05 по відношенню до початкової больової чутливості (ПБЧ) у вихідному стані (ВС);</w:t>
      </w:r>
    </w:p>
    <w:p w:rsidR="00417DC7" w:rsidRPr="00E87CD9" w:rsidRDefault="00417DC7" w:rsidP="00417DC7">
      <w:pPr>
        <w:ind w:firstLine="709"/>
        <w:jc w:val="both"/>
        <w:rPr>
          <w:color w:val="auto"/>
          <w:sz w:val="28"/>
          <w:szCs w:val="28"/>
        </w:rPr>
      </w:pPr>
      <w:r w:rsidRPr="00E87CD9">
        <w:rPr>
          <w:rFonts w:eastAsia="Calibri"/>
          <w:iCs/>
          <w:color w:val="auto"/>
          <w:sz w:val="28"/>
          <w:szCs w:val="28"/>
        </w:rPr>
        <w:t>¤ - р</w:t>
      </w:r>
      <w:r w:rsidR="0096394B" w:rsidRPr="00E87CD9">
        <w:rPr>
          <w:color w:val="auto"/>
          <w:sz w:val="28"/>
          <w:szCs w:val="28"/>
          <w:lang w:eastAsia="ru-RU"/>
        </w:rPr>
        <w:t>&lt;</w:t>
      </w:r>
      <w:r w:rsidRPr="00E87CD9">
        <w:rPr>
          <w:rFonts w:eastAsia="Calibri"/>
          <w:iCs/>
          <w:color w:val="auto"/>
          <w:sz w:val="28"/>
          <w:szCs w:val="28"/>
        </w:rPr>
        <w:t>0,05 у порівнянні з показниками групи активного контролю (</w:t>
      </w:r>
      <w:r w:rsidR="00214B63" w:rsidRPr="00E87CD9">
        <w:rPr>
          <w:color w:val="auto"/>
          <w:sz w:val="28"/>
          <w:szCs w:val="28"/>
        </w:rPr>
        <w:t>ОА + ГІТ</w:t>
      </w:r>
      <w:r w:rsidRPr="00E87CD9">
        <w:rPr>
          <w:color w:val="auto"/>
          <w:sz w:val="28"/>
          <w:szCs w:val="28"/>
        </w:rPr>
        <w:t>).</w:t>
      </w:r>
    </w:p>
    <w:p w:rsidR="00417DC7" w:rsidRPr="00E87CD9" w:rsidRDefault="00417DC7" w:rsidP="00417DC7">
      <w:pPr>
        <w:tabs>
          <w:tab w:val="left" w:pos="2251"/>
        </w:tabs>
        <w:ind w:firstLine="709"/>
        <w:jc w:val="both"/>
        <w:rPr>
          <w:color w:val="auto"/>
          <w:sz w:val="28"/>
          <w:szCs w:val="28"/>
          <w:lang w:eastAsia="ru-RU"/>
        </w:rPr>
      </w:pPr>
    </w:p>
    <w:p w:rsidR="00417DC7" w:rsidRPr="00E87CD9" w:rsidRDefault="00417DC7" w:rsidP="00417DC7">
      <w:pPr>
        <w:tabs>
          <w:tab w:val="left" w:pos="2251"/>
        </w:tabs>
        <w:ind w:firstLine="709"/>
        <w:jc w:val="both"/>
        <w:rPr>
          <w:color w:val="auto"/>
          <w:sz w:val="28"/>
          <w:szCs w:val="28"/>
        </w:rPr>
      </w:pPr>
      <w:r w:rsidRPr="00E87CD9">
        <w:rPr>
          <w:color w:val="auto"/>
          <w:sz w:val="28"/>
          <w:szCs w:val="28"/>
          <w:lang w:eastAsia="ru-RU"/>
        </w:rPr>
        <w:t xml:space="preserve">Встановлено, що </w:t>
      </w:r>
      <w:r w:rsidR="00D32A96" w:rsidRPr="00E87CD9">
        <w:rPr>
          <w:color w:val="auto"/>
          <w:sz w:val="28"/>
          <w:szCs w:val="28"/>
          <w:lang w:eastAsia="ru-RU"/>
        </w:rPr>
        <w:t>ХС</w:t>
      </w:r>
      <w:r w:rsidRPr="00E87CD9">
        <w:rPr>
          <w:color w:val="auto"/>
          <w:sz w:val="28"/>
          <w:szCs w:val="28"/>
          <w:lang w:eastAsia="ru-RU"/>
        </w:rPr>
        <w:t>в тесті</w:t>
      </w:r>
      <w:r w:rsidR="00D32A96" w:rsidRPr="00E87CD9">
        <w:rPr>
          <w:bCs/>
          <w:color w:val="auto"/>
          <w:sz w:val="28"/>
          <w:szCs w:val="28"/>
          <w:lang w:eastAsia="ru-RU"/>
        </w:rPr>
        <w:t xml:space="preserve"> термоподразнення хвоста у щурів</w:t>
      </w:r>
      <w:r w:rsidRPr="00E87CD9">
        <w:rPr>
          <w:color w:val="auto"/>
          <w:sz w:val="28"/>
          <w:szCs w:val="28"/>
          <w:lang w:eastAsia="ru-RU"/>
        </w:rPr>
        <w:t xml:space="preserve"> показав себе більш слабким аналгетиком. Спостерігалось статистично знач</w:t>
      </w:r>
      <w:r w:rsidR="00214B63" w:rsidRPr="00E87CD9">
        <w:rPr>
          <w:color w:val="auto"/>
          <w:sz w:val="28"/>
          <w:szCs w:val="28"/>
          <w:lang w:eastAsia="ru-RU"/>
        </w:rPr>
        <w:t>уще</w:t>
      </w:r>
      <w:r w:rsidRPr="00E87CD9">
        <w:rPr>
          <w:color w:val="auto"/>
          <w:sz w:val="28"/>
          <w:szCs w:val="28"/>
          <w:lang w:eastAsia="ru-RU"/>
        </w:rPr>
        <w:t xml:space="preserve"> підвищення порогу болю у 1,</w:t>
      </w:r>
      <w:r w:rsidR="00D24016" w:rsidRPr="00E87CD9">
        <w:rPr>
          <w:color w:val="auto"/>
          <w:sz w:val="28"/>
          <w:szCs w:val="28"/>
          <w:lang w:eastAsia="ru-RU"/>
        </w:rPr>
        <w:t>19</w:t>
      </w:r>
      <w:r w:rsidRPr="00E87CD9">
        <w:rPr>
          <w:color w:val="auto"/>
          <w:sz w:val="28"/>
          <w:szCs w:val="28"/>
          <w:lang w:eastAsia="ru-RU"/>
        </w:rPr>
        <w:t xml:space="preserve"> рази </w:t>
      </w:r>
      <w:r w:rsidR="00D24016" w:rsidRPr="00E87CD9">
        <w:rPr>
          <w:color w:val="auto"/>
          <w:sz w:val="28"/>
          <w:szCs w:val="28"/>
          <w:lang w:eastAsia="ru-RU"/>
        </w:rPr>
        <w:t xml:space="preserve">(р&lt;0,05) </w:t>
      </w:r>
      <w:r w:rsidRPr="00E87CD9">
        <w:rPr>
          <w:color w:val="auto"/>
          <w:sz w:val="28"/>
          <w:szCs w:val="28"/>
          <w:lang w:eastAsia="ru-RU"/>
        </w:rPr>
        <w:t xml:space="preserve">після його одноразового введення </w:t>
      </w:r>
      <w:r w:rsidR="00214B63" w:rsidRPr="00E87CD9">
        <w:rPr>
          <w:color w:val="auto"/>
          <w:sz w:val="28"/>
          <w:szCs w:val="28"/>
          <w:lang w:eastAsia="ru-RU"/>
        </w:rPr>
        <w:t xml:space="preserve">і </w:t>
      </w:r>
      <w:r w:rsidRPr="00E87CD9">
        <w:rPr>
          <w:color w:val="auto"/>
          <w:sz w:val="28"/>
          <w:szCs w:val="28"/>
          <w:lang w:eastAsia="ru-RU"/>
        </w:rPr>
        <w:t xml:space="preserve">тільки на 60 хвилині </w:t>
      </w:r>
      <w:r w:rsidR="00214B63" w:rsidRPr="00E87CD9">
        <w:rPr>
          <w:color w:val="auto"/>
          <w:sz w:val="28"/>
          <w:szCs w:val="28"/>
          <w:lang w:eastAsia="ru-RU"/>
        </w:rPr>
        <w:t xml:space="preserve">від початку експерименту </w:t>
      </w:r>
      <w:r w:rsidRPr="00E87CD9">
        <w:rPr>
          <w:color w:val="auto"/>
          <w:sz w:val="28"/>
          <w:szCs w:val="28"/>
          <w:lang w:eastAsia="ru-RU"/>
        </w:rPr>
        <w:t>(табл. 2).</w:t>
      </w:r>
    </w:p>
    <w:p w:rsidR="00417DC7" w:rsidRPr="00E87CD9" w:rsidRDefault="00417DC7" w:rsidP="00417DC7">
      <w:pPr>
        <w:ind w:firstLine="709"/>
        <w:jc w:val="both"/>
        <w:rPr>
          <w:color w:val="auto"/>
          <w:sz w:val="28"/>
          <w:szCs w:val="28"/>
        </w:rPr>
      </w:pPr>
      <w:r w:rsidRPr="00E87CD9">
        <w:rPr>
          <w:color w:val="auto"/>
          <w:sz w:val="28"/>
          <w:szCs w:val="28"/>
          <w:lang w:eastAsia="ru-RU"/>
        </w:rPr>
        <w:lastRenderedPageBreak/>
        <w:t>Проте, комбінація зазначених препаратів в досліджуваних дозах виявляла більш виражену, у порівнянні з диклофенаком натрію, знеболювальну дію. Так, больовий поріг на фоні введення комбінації препаратів підвищувався на 60 хвилині у 1,73 рази (р&lt;0,05), досягаючи максимуму на 90 хвилині після введення.</w:t>
      </w:r>
    </w:p>
    <w:p w:rsidR="00417DC7" w:rsidRPr="00E87CD9" w:rsidRDefault="00417DC7" w:rsidP="00417DC7">
      <w:pPr>
        <w:ind w:firstLine="709"/>
        <w:jc w:val="both"/>
        <w:rPr>
          <w:color w:val="auto"/>
          <w:sz w:val="28"/>
          <w:szCs w:val="28"/>
        </w:rPr>
      </w:pPr>
      <w:r w:rsidRPr="00E87CD9">
        <w:rPr>
          <w:color w:val="auto"/>
          <w:sz w:val="28"/>
          <w:szCs w:val="28"/>
          <w:lang w:eastAsia="ru-RU"/>
        </w:rPr>
        <w:t xml:space="preserve">Проведене дослідження дозволило встановити, що </w:t>
      </w:r>
      <w:r w:rsidR="00D32A96" w:rsidRPr="00E87CD9">
        <w:rPr>
          <w:color w:val="auto"/>
          <w:sz w:val="28"/>
          <w:szCs w:val="28"/>
          <w:lang w:eastAsia="ru-RU"/>
        </w:rPr>
        <w:t xml:space="preserve">за комбінованого застосування </w:t>
      </w:r>
      <w:r w:rsidRPr="00E87CD9">
        <w:rPr>
          <w:color w:val="auto"/>
          <w:sz w:val="28"/>
          <w:szCs w:val="28"/>
          <w:lang w:eastAsia="ru-RU"/>
        </w:rPr>
        <w:t>диклофенак</w:t>
      </w:r>
      <w:r w:rsidR="00D32A96" w:rsidRPr="00E87CD9">
        <w:rPr>
          <w:color w:val="auto"/>
          <w:sz w:val="28"/>
          <w:szCs w:val="28"/>
          <w:lang w:eastAsia="ru-RU"/>
        </w:rPr>
        <w:t>у</w:t>
      </w:r>
      <w:r w:rsidRPr="00E87CD9">
        <w:rPr>
          <w:color w:val="auto"/>
          <w:sz w:val="28"/>
          <w:szCs w:val="28"/>
          <w:lang w:eastAsia="ru-RU"/>
        </w:rPr>
        <w:t xml:space="preserve"> натрію</w:t>
      </w:r>
      <w:r w:rsidR="00D32A96" w:rsidRPr="00E87CD9">
        <w:rPr>
          <w:color w:val="auto"/>
          <w:sz w:val="28"/>
          <w:szCs w:val="28"/>
          <w:lang w:eastAsia="ru-RU"/>
        </w:rPr>
        <w:t>,</w:t>
      </w:r>
      <w:r w:rsidRPr="00E87CD9">
        <w:rPr>
          <w:color w:val="auto"/>
          <w:sz w:val="28"/>
          <w:szCs w:val="28"/>
          <w:lang w:eastAsia="ru-RU"/>
        </w:rPr>
        <w:t xml:space="preserve"> хондроїтину сульфат</w:t>
      </w:r>
      <w:r w:rsidR="00D32A96" w:rsidRPr="00E87CD9">
        <w:rPr>
          <w:color w:val="auto"/>
          <w:sz w:val="28"/>
          <w:szCs w:val="28"/>
          <w:lang w:eastAsia="ru-RU"/>
        </w:rPr>
        <w:t>у та</w:t>
      </w:r>
      <w:r w:rsidRPr="00E87CD9">
        <w:rPr>
          <w:color w:val="auto"/>
          <w:sz w:val="28"/>
          <w:szCs w:val="28"/>
          <w:lang w:eastAsia="ru-RU"/>
        </w:rPr>
        <w:t xml:space="preserve"> L-тироксин</w:t>
      </w:r>
      <w:r w:rsidR="00D32A96" w:rsidRPr="00E87CD9">
        <w:rPr>
          <w:color w:val="auto"/>
          <w:sz w:val="28"/>
          <w:szCs w:val="28"/>
          <w:lang w:eastAsia="ru-RU"/>
        </w:rPr>
        <w:t>у</w:t>
      </w:r>
      <w:r w:rsidRPr="00E87CD9">
        <w:rPr>
          <w:color w:val="auto"/>
          <w:sz w:val="28"/>
          <w:szCs w:val="28"/>
          <w:lang w:eastAsia="ru-RU"/>
        </w:rPr>
        <w:t xml:space="preserve"> виявля</w:t>
      </w:r>
      <w:r w:rsidR="00D32A96" w:rsidRPr="00E87CD9">
        <w:rPr>
          <w:color w:val="auto"/>
          <w:sz w:val="28"/>
          <w:szCs w:val="28"/>
          <w:lang w:eastAsia="ru-RU"/>
        </w:rPr>
        <w:t>вся</w:t>
      </w:r>
      <w:r w:rsidRPr="00E87CD9">
        <w:rPr>
          <w:color w:val="auto"/>
          <w:sz w:val="28"/>
          <w:szCs w:val="28"/>
          <w:lang w:eastAsia="ru-RU"/>
        </w:rPr>
        <w:t xml:space="preserve"> більш виражений знеболювальний ефект</w:t>
      </w:r>
      <w:r w:rsidR="00D32A96" w:rsidRPr="00E87CD9">
        <w:rPr>
          <w:color w:val="auto"/>
          <w:sz w:val="28"/>
          <w:szCs w:val="28"/>
          <w:lang w:eastAsia="ru-RU"/>
        </w:rPr>
        <w:t>,</w:t>
      </w:r>
      <w:r w:rsidRPr="00E87CD9">
        <w:rPr>
          <w:color w:val="auto"/>
          <w:sz w:val="28"/>
          <w:szCs w:val="28"/>
          <w:lang w:eastAsia="ru-RU"/>
        </w:rPr>
        <w:t xml:space="preserve"> ніж </w:t>
      </w:r>
      <w:r w:rsidR="00D32A96" w:rsidRPr="00E87CD9">
        <w:rPr>
          <w:color w:val="auto"/>
          <w:sz w:val="28"/>
          <w:szCs w:val="28"/>
          <w:lang w:eastAsia="ru-RU"/>
        </w:rPr>
        <w:t>за застосування окремих</w:t>
      </w:r>
      <w:r w:rsidRPr="00E87CD9">
        <w:rPr>
          <w:color w:val="auto"/>
          <w:sz w:val="28"/>
          <w:szCs w:val="28"/>
          <w:lang w:eastAsia="ru-RU"/>
        </w:rPr>
        <w:t xml:space="preserve"> препарат</w:t>
      </w:r>
      <w:r w:rsidR="00D32A96" w:rsidRPr="00E87CD9">
        <w:rPr>
          <w:color w:val="auto"/>
          <w:sz w:val="28"/>
          <w:szCs w:val="28"/>
          <w:lang w:eastAsia="ru-RU"/>
        </w:rPr>
        <w:t>ів</w:t>
      </w:r>
      <w:r w:rsidRPr="00E87CD9">
        <w:rPr>
          <w:color w:val="auto"/>
          <w:sz w:val="28"/>
          <w:szCs w:val="28"/>
          <w:lang w:eastAsia="ru-RU"/>
        </w:rPr>
        <w:t>.</w:t>
      </w:r>
    </w:p>
    <w:p w:rsidR="00417DC7" w:rsidRPr="00E87CD9" w:rsidRDefault="00417DC7" w:rsidP="00417DC7">
      <w:pPr>
        <w:pStyle w:val="WW-"/>
        <w:spacing w:after="0" w:line="240" w:lineRule="auto"/>
        <w:ind w:firstLine="709"/>
        <w:jc w:val="both"/>
        <w:rPr>
          <w:rFonts w:ascii="Times New Roman" w:eastAsia="Times New Roman" w:hAnsi="Times New Roman" w:cs="Times New Roman"/>
          <w:color w:val="auto"/>
          <w:sz w:val="28"/>
          <w:szCs w:val="28"/>
          <w:lang w:val="uk-UA" w:eastAsia="ru-RU"/>
        </w:rPr>
      </w:pPr>
      <w:r w:rsidRPr="00E87CD9">
        <w:rPr>
          <w:rFonts w:ascii="Times New Roman" w:eastAsia="Times New Roman" w:hAnsi="Times New Roman" w:cs="Times New Roman"/>
          <w:bCs/>
          <w:color w:val="auto"/>
          <w:sz w:val="28"/>
          <w:szCs w:val="28"/>
          <w:lang w:val="uk-UA" w:eastAsia="ru-RU"/>
        </w:rPr>
        <w:t xml:space="preserve">Дослідження аналгетичної активності </w:t>
      </w:r>
      <w:r w:rsidR="00D32A96" w:rsidRPr="00E87CD9">
        <w:rPr>
          <w:rFonts w:ascii="Times New Roman" w:eastAsia="Times New Roman" w:hAnsi="Times New Roman" w:cs="Times New Roman"/>
          <w:bCs/>
          <w:color w:val="auto"/>
          <w:sz w:val="28"/>
          <w:szCs w:val="28"/>
          <w:lang w:val="uk-UA" w:eastAsia="ru-RU"/>
        </w:rPr>
        <w:t>за комбінованого застосування ЛЗ</w:t>
      </w:r>
      <w:r w:rsidRPr="00E87CD9">
        <w:rPr>
          <w:rFonts w:ascii="Times New Roman" w:eastAsia="Times New Roman" w:hAnsi="Times New Roman" w:cs="Times New Roman"/>
          <w:bCs/>
          <w:color w:val="auto"/>
          <w:sz w:val="28"/>
          <w:szCs w:val="28"/>
          <w:lang w:val="uk-UA" w:eastAsia="ru-RU"/>
        </w:rPr>
        <w:t xml:space="preserve"> (</w:t>
      </w:r>
      <w:r w:rsidRPr="00E87CD9">
        <w:rPr>
          <w:rFonts w:ascii="Times New Roman" w:eastAsia="Times New Roman" w:hAnsi="Times New Roman" w:cs="Times New Roman"/>
          <w:color w:val="auto"/>
          <w:sz w:val="28"/>
          <w:szCs w:val="28"/>
          <w:lang w:val="uk-UA" w:eastAsia="ru-RU"/>
        </w:rPr>
        <w:t>диклофенак натрію + хондроїтину сульфат + L-тироксин)</w:t>
      </w:r>
      <w:r w:rsidRPr="00E87CD9">
        <w:rPr>
          <w:rFonts w:ascii="Times New Roman" w:eastAsia="Times New Roman" w:hAnsi="Times New Roman" w:cs="Times New Roman"/>
          <w:bCs/>
          <w:color w:val="auto"/>
          <w:sz w:val="28"/>
          <w:szCs w:val="28"/>
          <w:lang w:val="uk-UA" w:eastAsia="ru-RU"/>
        </w:rPr>
        <w:t xml:space="preserve"> на моделі «оцтовокислих корчів» встановило, що </w:t>
      </w:r>
      <w:r w:rsidRPr="00E87CD9">
        <w:rPr>
          <w:rFonts w:ascii="Times New Roman" w:eastAsia="Times New Roman" w:hAnsi="Times New Roman" w:cs="Times New Roman"/>
          <w:color w:val="auto"/>
          <w:sz w:val="28"/>
          <w:szCs w:val="28"/>
          <w:lang w:val="uk-UA" w:eastAsia="ru-RU"/>
        </w:rPr>
        <w:t>введення д</w:t>
      </w:r>
      <w:r w:rsidRPr="00E87CD9">
        <w:rPr>
          <w:rFonts w:ascii="Times New Roman" w:hAnsi="Times New Roman" w:cs="Times New Roman"/>
          <w:color w:val="auto"/>
          <w:sz w:val="28"/>
          <w:szCs w:val="28"/>
          <w:lang w:val="uk-UA"/>
        </w:rPr>
        <w:t xml:space="preserve">иклофенаку натрію </w:t>
      </w:r>
      <w:r w:rsidRPr="00E87CD9">
        <w:rPr>
          <w:rFonts w:ascii="Times New Roman" w:eastAsia="Times New Roman" w:hAnsi="Times New Roman" w:cs="Times New Roman"/>
          <w:color w:val="auto"/>
          <w:sz w:val="28"/>
          <w:szCs w:val="28"/>
          <w:lang w:val="uk-UA" w:eastAsia="ru-RU"/>
        </w:rPr>
        <w:t xml:space="preserve">призводить до істотного зниження кількості «оцтовокислих корчів» у 2,96 рази </w:t>
      </w:r>
      <w:r w:rsidR="008612E8" w:rsidRPr="00E87CD9">
        <w:rPr>
          <w:rFonts w:ascii="Times New Roman" w:eastAsia="Times New Roman" w:hAnsi="Times New Roman" w:cs="Times New Roman"/>
          <w:color w:val="auto"/>
          <w:sz w:val="28"/>
          <w:szCs w:val="28"/>
          <w:lang w:val="uk-UA" w:eastAsia="ru-RU"/>
        </w:rPr>
        <w:t>(р&lt;0,001)</w:t>
      </w:r>
      <w:r w:rsidRPr="00E87CD9">
        <w:rPr>
          <w:rFonts w:ascii="Times New Roman" w:eastAsia="Times New Roman" w:hAnsi="Times New Roman" w:cs="Times New Roman"/>
          <w:color w:val="auto"/>
          <w:sz w:val="28"/>
          <w:szCs w:val="28"/>
          <w:lang w:val="uk-UA" w:eastAsia="ru-RU"/>
        </w:rPr>
        <w:t xml:space="preserve">. У меншій мірі досліджуваний показник знижувався на тлі введення </w:t>
      </w:r>
      <w:r w:rsidR="00D32A96" w:rsidRPr="00E87CD9">
        <w:rPr>
          <w:rFonts w:ascii="Times New Roman" w:eastAsia="Times New Roman" w:hAnsi="Times New Roman" w:cs="Times New Roman"/>
          <w:color w:val="auto"/>
          <w:sz w:val="28"/>
          <w:szCs w:val="28"/>
          <w:lang w:val="uk-UA" w:eastAsia="ru-RU"/>
        </w:rPr>
        <w:t>ХС</w:t>
      </w:r>
      <w:r w:rsidRPr="00E87CD9">
        <w:rPr>
          <w:rFonts w:ascii="Times New Roman" w:eastAsia="Times New Roman" w:hAnsi="Times New Roman" w:cs="Times New Roman"/>
          <w:color w:val="auto"/>
          <w:sz w:val="28"/>
          <w:szCs w:val="28"/>
          <w:lang w:val="uk-UA" w:eastAsia="ru-RU"/>
        </w:rPr>
        <w:t xml:space="preserve">, де </w:t>
      </w:r>
      <w:r w:rsidR="00814CE7" w:rsidRPr="00E87CD9">
        <w:rPr>
          <w:rFonts w:ascii="Times New Roman" w:eastAsia="Times New Roman" w:hAnsi="Times New Roman" w:cs="Times New Roman"/>
          <w:color w:val="auto"/>
          <w:sz w:val="28"/>
          <w:szCs w:val="28"/>
          <w:lang w:val="uk-UA" w:eastAsia="ru-RU"/>
        </w:rPr>
        <w:t>зменшення</w:t>
      </w:r>
      <w:r w:rsidRPr="00E87CD9">
        <w:rPr>
          <w:rFonts w:ascii="Times New Roman" w:eastAsia="Times New Roman" w:hAnsi="Times New Roman" w:cs="Times New Roman"/>
          <w:color w:val="auto"/>
          <w:sz w:val="28"/>
          <w:szCs w:val="28"/>
          <w:lang w:val="uk-UA" w:eastAsia="ru-RU"/>
        </w:rPr>
        <w:t xml:space="preserve"> корчів склала 1,47 рази (</w:t>
      </w:r>
      <w:r w:rsidR="005D3C54" w:rsidRPr="00E87CD9">
        <w:rPr>
          <w:rFonts w:ascii="Times New Roman" w:eastAsia="Times New Roman" w:hAnsi="Times New Roman" w:cs="Times New Roman"/>
          <w:color w:val="auto"/>
          <w:sz w:val="28"/>
          <w:szCs w:val="28"/>
          <w:lang w:val="uk-UA" w:eastAsia="ru-RU"/>
        </w:rPr>
        <w:t>р&lt;0,001</w:t>
      </w:r>
      <w:r w:rsidRPr="00E87CD9">
        <w:rPr>
          <w:rFonts w:ascii="Times New Roman" w:eastAsia="Times New Roman" w:hAnsi="Times New Roman" w:cs="Times New Roman"/>
          <w:color w:val="auto"/>
          <w:sz w:val="28"/>
          <w:szCs w:val="28"/>
          <w:lang w:val="uk-UA" w:eastAsia="ru-RU"/>
        </w:rPr>
        <w:t>) (табл. 3).</w:t>
      </w:r>
    </w:p>
    <w:p w:rsidR="00F427F3" w:rsidRDefault="00F427F3" w:rsidP="00417DC7">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eastAsia="Times New Roman" w:hAnsi="Times New Roman" w:cs="Times New Roman"/>
          <w:color w:val="auto"/>
          <w:sz w:val="28"/>
          <w:szCs w:val="28"/>
          <w:lang w:val="uk-UA" w:eastAsia="ru-RU"/>
        </w:rPr>
        <w:t xml:space="preserve">Аналіз результатів встановив, що введення комбінації препаратів, як і в попередніх серіях спостережень, </w:t>
      </w:r>
      <w:r w:rsidR="0034389B" w:rsidRPr="00E87CD9">
        <w:rPr>
          <w:rFonts w:ascii="Times New Roman" w:eastAsia="Times New Roman" w:hAnsi="Times New Roman" w:cs="Times New Roman"/>
          <w:color w:val="auto"/>
          <w:sz w:val="28"/>
          <w:szCs w:val="28"/>
          <w:lang w:val="uk-UA" w:eastAsia="ru-RU"/>
        </w:rPr>
        <w:t>мало</w:t>
      </w:r>
      <w:r w:rsidRPr="00E87CD9">
        <w:rPr>
          <w:rFonts w:ascii="Times New Roman" w:eastAsia="Times New Roman" w:hAnsi="Times New Roman" w:cs="Times New Roman"/>
          <w:color w:val="auto"/>
          <w:sz w:val="28"/>
          <w:szCs w:val="28"/>
          <w:lang w:val="uk-UA" w:eastAsia="ru-RU"/>
        </w:rPr>
        <w:t xml:space="preserve"> найбільш сильний знеболювальний ефект. При одноразовому внутрішньошлунковому введенні д</w:t>
      </w:r>
      <w:r w:rsidRPr="00E87CD9">
        <w:rPr>
          <w:rFonts w:ascii="Times New Roman" w:hAnsi="Times New Roman" w:cs="Times New Roman"/>
          <w:color w:val="auto"/>
          <w:sz w:val="28"/>
          <w:szCs w:val="28"/>
          <w:lang w:val="uk-UA"/>
        </w:rPr>
        <w:t xml:space="preserve">иклофенаку натрію + хондроїтину сульфату + L-тироксину, </w:t>
      </w:r>
      <w:r w:rsidRPr="00E87CD9">
        <w:rPr>
          <w:rFonts w:ascii="Times New Roman" w:eastAsia="Times New Roman" w:hAnsi="Times New Roman" w:cs="Times New Roman"/>
          <w:color w:val="auto"/>
          <w:sz w:val="28"/>
          <w:szCs w:val="28"/>
          <w:lang w:val="uk-UA" w:eastAsia="ru-RU"/>
        </w:rPr>
        <w:t>у 7,7 разів (</w:t>
      </w:r>
      <w:r w:rsidR="005D3C54" w:rsidRPr="00E87CD9">
        <w:rPr>
          <w:rFonts w:ascii="Times New Roman" w:eastAsia="Times New Roman" w:hAnsi="Times New Roman" w:cs="Times New Roman"/>
          <w:color w:val="auto"/>
          <w:sz w:val="28"/>
          <w:szCs w:val="28"/>
          <w:lang w:val="uk-UA" w:eastAsia="ru-RU"/>
        </w:rPr>
        <w:t>р&lt;0,001</w:t>
      </w:r>
      <w:r w:rsidRPr="00E87CD9">
        <w:rPr>
          <w:rFonts w:ascii="Times New Roman" w:eastAsia="Times New Roman" w:hAnsi="Times New Roman" w:cs="Times New Roman"/>
          <w:color w:val="auto"/>
          <w:sz w:val="28"/>
          <w:szCs w:val="28"/>
          <w:lang w:val="uk-UA" w:eastAsia="ru-RU"/>
        </w:rPr>
        <w:t xml:space="preserve">) зменшилася ймовірність появи «корчів» у тварин за застосування 0,6% оцтової кислоти (див. табл. 3) відносно </w:t>
      </w:r>
      <w:r w:rsidRPr="00E87CD9">
        <w:rPr>
          <w:rFonts w:ascii="Times New Roman" w:eastAsia="Calibri" w:hAnsi="Times New Roman" w:cs="Times New Roman"/>
          <w:iCs/>
          <w:color w:val="auto"/>
          <w:sz w:val="28"/>
          <w:szCs w:val="28"/>
          <w:lang w:val="uk-UA" w:eastAsia="en-US"/>
        </w:rPr>
        <w:t>групи активного контролю (</w:t>
      </w:r>
      <w:r w:rsidR="0034389B" w:rsidRPr="00E87CD9">
        <w:rPr>
          <w:color w:val="auto"/>
          <w:sz w:val="28"/>
          <w:szCs w:val="28"/>
        </w:rPr>
        <w:t>ОА + ГІТ</w:t>
      </w:r>
      <w:r w:rsidRPr="00E87CD9">
        <w:rPr>
          <w:rFonts w:ascii="Times New Roman" w:hAnsi="Times New Roman" w:cs="Times New Roman"/>
          <w:color w:val="auto"/>
          <w:sz w:val="28"/>
          <w:szCs w:val="28"/>
          <w:lang w:val="uk-UA"/>
        </w:rPr>
        <w:t>).</w:t>
      </w:r>
    </w:p>
    <w:p w:rsidR="00A319EC" w:rsidRPr="00E87CD9" w:rsidRDefault="00A319EC" w:rsidP="00417DC7">
      <w:pPr>
        <w:pStyle w:val="WW-"/>
        <w:spacing w:after="0" w:line="240" w:lineRule="auto"/>
        <w:ind w:firstLine="709"/>
        <w:jc w:val="both"/>
        <w:rPr>
          <w:rFonts w:ascii="Times New Roman" w:eastAsia="Times New Roman" w:hAnsi="Times New Roman" w:cs="Times New Roman"/>
          <w:color w:val="auto"/>
          <w:sz w:val="28"/>
          <w:szCs w:val="28"/>
          <w:lang w:val="uk-UA" w:eastAsia="ru-RU"/>
        </w:rPr>
      </w:pPr>
    </w:p>
    <w:p w:rsidR="00417DC7" w:rsidRPr="00E87CD9" w:rsidRDefault="00417DC7" w:rsidP="00417DC7">
      <w:pPr>
        <w:ind w:firstLine="709"/>
        <w:jc w:val="right"/>
        <w:rPr>
          <w:color w:val="auto"/>
          <w:sz w:val="28"/>
          <w:szCs w:val="28"/>
        </w:rPr>
      </w:pPr>
      <w:r w:rsidRPr="00E87CD9">
        <w:rPr>
          <w:i/>
          <w:iCs/>
          <w:color w:val="auto"/>
          <w:sz w:val="28"/>
          <w:szCs w:val="28"/>
          <w:lang w:eastAsia="ru-RU"/>
        </w:rPr>
        <w:t>Таблиця 3</w:t>
      </w:r>
    </w:p>
    <w:p w:rsidR="00417DC7" w:rsidRPr="00E87CD9" w:rsidRDefault="00417DC7" w:rsidP="00417DC7">
      <w:pPr>
        <w:ind w:firstLine="709"/>
        <w:jc w:val="center"/>
        <w:rPr>
          <w:color w:val="auto"/>
          <w:sz w:val="28"/>
          <w:szCs w:val="28"/>
        </w:rPr>
      </w:pPr>
      <w:r w:rsidRPr="00E87CD9">
        <w:rPr>
          <w:b/>
          <w:bCs/>
          <w:color w:val="auto"/>
          <w:sz w:val="28"/>
          <w:szCs w:val="28"/>
          <w:lang w:eastAsia="ru-RU"/>
        </w:rPr>
        <w:t xml:space="preserve">Показники больового порогу </w:t>
      </w:r>
      <w:r w:rsidRPr="00E87CD9">
        <w:rPr>
          <w:b/>
          <w:bCs/>
          <w:color w:val="auto"/>
          <w:sz w:val="28"/>
          <w:szCs w:val="28"/>
        </w:rPr>
        <w:t>в умовах моделі «оцтовокислих корчів» у щурів за умов коморбідної патології при призначен</w:t>
      </w:r>
      <w:r w:rsidR="0034389B" w:rsidRPr="00E87CD9">
        <w:rPr>
          <w:b/>
          <w:bCs/>
          <w:color w:val="auto"/>
          <w:sz w:val="28"/>
          <w:szCs w:val="28"/>
        </w:rPr>
        <w:t>н</w:t>
      </w:r>
      <w:r w:rsidRPr="00E87CD9">
        <w:rPr>
          <w:b/>
          <w:bCs/>
          <w:color w:val="auto"/>
          <w:sz w:val="28"/>
          <w:szCs w:val="28"/>
        </w:rPr>
        <w:t>і комбінації ЛЗ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50"/>
        <w:gridCol w:w="2980"/>
      </w:tblGrid>
      <w:tr w:rsidR="0034389B" w:rsidRPr="00E87CD9" w:rsidTr="00DD3664">
        <w:trPr>
          <w:trHeight w:val="769"/>
          <w:jc w:val="center"/>
        </w:trPr>
        <w:tc>
          <w:tcPr>
            <w:tcW w:w="595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984367">
            <w:pPr>
              <w:keepNext/>
              <w:spacing w:line="256" w:lineRule="auto"/>
              <w:jc w:val="center"/>
              <w:rPr>
                <w:b/>
                <w:bCs/>
                <w:color w:val="auto"/>
                <w:sz w:val="27"/>
                <w:szCs w:val="27"/>
                <w:lang w:eastAsia="ru-RU"/>
              </w:rPr>
            </w:pPr>
            <w:r w:rsidRPr="00E87CD9">
              <w:rPr>
                <w:b/>
                <w:bCs/>
                <w:color w:val="auto"/>
                <w:sz w:val="27"/>
                <w:szCs w:val="27"/>
                <w:lang w:eastAsia="ru-RU"/>
              </w:rPr>
              <w:t>Групи</w:t>
            </w:r>
          </w:p>
          <w:p w:rsidR="0034389B" w:rsidRPr="00E87CD9" w:rsidRDefault="0034389B" w:rsidP="00984367">
            <w:pPr>
              <w:keepNext/>
              <w:spacing w:line="256" w:lineRule="auto"/>
              <w:jc w:val="center"/>
              <w:rPr>
                <w:color w:val="auto"/>
                <w:sz w:val="27"/>
                <w:szCs w:val="27"/>
              </w:rPr>
            </w:pPr>
            <w:r w:rsidRPr="00E87CD9">
              <w:rPr>
                <w:b/>
                <w:bCs/>
                <w:color w:val="auto"/>
                <w:sz w:val="27"/>
                <w:szCs w:val="27"/>
                <w:lang w:eastAsia="ru-RU"/>
              </w:rPr>
              <w:t>(n=40)</w:t>
            </w:r>
          </w:p>
        </w:tc>
        <w:tc>
          <w:tcPr>
            <w:tcW w:w="298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984367">
            <w:pPr>
              <w:spacing w:line="256" w:lineRule="auto"/>
              <w:jc w:val="center"/>
              <w:rPr>
                <w:color w:val="auto"/>
                <w:sz w:val="27"/>
                <w:szCs w:val="27"/>
              </w:rPr>
            </w:pPr>
            <w:r w:rsidRPr="00E87CD9">
              <w:rPr>
                <w:b/>
                <w:bCs/>
                <w:color w:val="auto"/>
                <w:sz w:val="27"/>
                <w:szCs w:val="27"/>
                <w:lang w:eastAsia="ru-RU"/>
              </w:rPr>
              <w:t xml:space="preserve">Середня кількість корчів, </w:t>
            </w:r>
            <w:r w:rsidRPr="00E87CD9">
              <w:rPr>
                <w:b/>
                <w:color w:val="auto"/>
                <w:sz w:val="27"/>
                <w:szCs w:val="27"/>
              </w:rPr>
              <w:t>M±m</w:t>
            </w:r>
          </w:p>
        </w:tc>
      </w:tr>
      <w:tr w:rsidR="0034389B" w:rsidRPr="00E87CD9" w:rsidTr="00DD3664">
        <w:trPr>
          <w:trHeight w:val="324"/>
          <w:jc w:val="center"/>
        </w:trPr>
        <w:tc>
          <w:tcPr>
            <w:tcW w:w="595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DD3664">
            <w:pPr>
              <w:spacing w:line="360" w:lineRule="auto"/>
              <w:jc w:val="center"/>
              <w:rPr>
                <w:color w:val="auto"/>
                <w:sz w:val="27"/>
                <w:szCs w:val="27"/>
              </w:rPr>
            </w:pPr>
            <w:r w:rsidRPr="00E87CD9">
              <w:rPr>
                <w:color w:val="auto"/>
                <w:sz w:val="28"/>
                <w:szCs w:val="28"/>
              </w:rPr>
              <w:t>ОА + ГІТ</w:t>
            </w:r>
            <w:r w:rsidRPr="00E87CD9">
              <w:rPr>
                <w:color w:val="auto"/>
                <w:sz w:val="27"/>
                <w:szCs w:val="27"/>
                <w:lang w:eastAsia="ru-RU"/>
              </w:rPr>
              <w:t>(n=10)</w:t>
            </w:r>
          </w:p>
        </w:tc>
        <w:tc>
          <w:tcPr>
            <w:tcW w:w="298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DD3664">
            <w:pPr>
              <w:spacing w:line="360" w:lineRule="auto"/>
              <w:jc w:val="center"/>
              <w:rPr>
                <w:color w:val="auto"/>
                <w:sz w:val="27"/>
                <w:szCs w:val="27"/>
              </w:rPr>
            </w:pPr>
            <w:r w:rsidRPr="00E87CD9">
              <w:rPr>
                <w:color w:val="auto"/>
                <w:sz w:val="27"/>
                <w:szCs w:val="27"/>
                <w:lang w:eastAsia="ru-RU"/>
              </w:rPr>
              <w:t xml:space="preserve">49,8 </w:t>
            </w:r>
            <w:r w:rsidRPr="00E87CD9">
              <w:rPr>
                <w:color w:val="auto"/>
                <w:sz w:val="27"/>
                <w:szCs w:val="27"/>
              </w:rPr>
              <w:t>±</w:t>
            </w:r>
            <w:r w:rsidRPr="00E87CD9">
              <w:rPr>
                <w:color w:val="auto"/>
                <w:sz w:val="27"/>
                <w:szCs w:val="27"/>
                <w:lang w:eastAsia="ru-RU"/>
              </w:rPr>
              <w:t>2,1</w:t>
            </w:r>
          </w:p>
        </w:tc>
      </w:tr>
      <w:tr w:rsidR="0034389B" w:rsidRPr="00E87CD9" w:rsidTr="00DD3664">
        <w:trPr>
          <w:trHeight w:val="332"/>
          <w:jc w:val="center"/>
        </w:trPr>
        <w:tc>
          <w:tcPr>
            <w:tcW w:w="595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DD3664">
            <w:pPr>
              <w:spacing w:line="360" w:lineRule="auto"/>
              <w:jc w:val="center"/>
              <w:rPr>
                <w:color w:val="auto"/>
                <w:sz w:val="27"/>
                <w:szCs w:val="27"/>
              </w:rPr>
            </w:pPr>
            <w:r w:rsidRPr="00E87CD9">
              <w:rPr>
                <w:color w:val="auto"/>
                <w:sz w:val="27"/>
                <w:szCs w:val="27"/>
              </w:rPr>
              <w:t xml:space="preserve">ОА + ГІТ </w:t>
            </w:r>
            <w:r w:rsidRPr="00E87CD9">
              <w:rPr>
                <w:color w:val="auto"/>
                <w:sz w:val="27"/>
                <w:szCs w:val="27"/>
                <w:lang w:eastAsia="ru-RU"/>
              </w:rPr>
              <w:t>+ Диклофенак натрію10 мг/кг (n=10)</w:t>
            </w:r>
          </w:p>
        </w:tc>
        <w:tc>
          <w:tcPr>
            <w:tcW w:w="298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DD3664">
            <w:pPr>
              <w:spacing w:line="360" w:lineRule="auto"/>
              <w:jc w:val="center"/>
              <w:rPr>
                <w:color w:val="auto"/>
                <w:sz w:val="27"/>
                <w:szCs w:val="27"/>
              </w:rPr>
            </w:pPr>
            <w:r w:rsidRPr="00E87CD9">
              <w:rPr>
                <w:color w:val="auto"/>
                <w:sz w:val="27"/>
                <w:szCs w:val="27"/>
                <w:lang w:eastAsia="ru-RU"/>
              </w:rPr>
              <w:t>16,8</w:t>
            </w:r>
            <w:r w:rsidRPr="00E87CD9">
              <w:rPr>
                <w:color w:val="auto"/>
                <w:sz w:val="27"/>
                <w:szCs w:val="27"/>
              </w:rPr>
              <w:t>±</w:t>
            </w:r>
            <w:r w:rsidRPr="00E87CD9">
              <w:rPr>
                <w:color w:val="auto"/>
                <w:sz w:val="27"/>
                <w:szCs w:val="27"/>
                <w:lang w:eastAsia="ru-RU"/>
              </w:rPr>
              <w:t>2,9 *</w:t>
            </w:r>
          </w:p>
        </w:tc>
      </w:tr>
      <w:tr w:rsidR="0034389B" w:rsidRPr="00E87CD9" w:rsidTr="00DD3664">
        <w:trPr>
          <w:trHeight w:val="185"/>
          <w:jc w:val="center"/>
        </w:trPr>
        <w:tc>
          <w:tcPr>
            <w:tcW w:w="595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DD3664">
            <w:pPr>
              <w:spacing w:line="360" w:lineRule="auto"/>
              <w:jc w:val="center"/>
              <w:rPr>
                <w:color w:val="auto"/>
                <w:sz w:val="27"/>
                <w:szCs w:val="27"/>
              </w:rPr>
            </w:pPr>
            <w:r w:rsidRPr="00E87CD9">
              <w:rPr>
                <w:color w:val="auto"/>
                <w:sz w:val="27"/>
                <w:szCs w:val="27"/>
              </w:rPr>
              <w:t xml:space="preserve">ОА + ГІТ </w:t>
            </w:r>
            <w:r w:rsidRPr="00E87CD9">
              <w:rPr>
                <w:color w:val="auto"/>
                <w:sz w:val="27"/>
                <w:szCs w:val="27"/>
                <w:lang w:eastAsia="ru-RU"/>
              </w:rPr>
              <w:t>+ Хондроїтин сульфат35 мг/кг (n=10)</w:t>
            </w:r>
          </w:p>
        </w:tc>
        <w:tc>
          <w:tcPr>
            <w:tcW w:w="298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DD3664">
            <w:pPr>
              <w:spacing w:line="360" w:lineRule="auto"/>
              <w:jc w:val="center"/>
              <w:rPr>
                <w:color w:val="auto"/>
                <w:sz w:val="27"/>
                <w:szCs w:val="27"/>
              </w:rPr>
            </w:pPr>
            <w:r w:rsidRPr="00E87CD9">
              <w:rPr>
                <w:color w:val="auto"/>
                <w:sz w:val="27"/>
                <w:szCs w:val="27"/>
                <w:lang w:eastAsia="ru-RU"/>
              </w:rPr>
              <w:t>33,9</w:t>
            </w:r>
            <w:r w:rsidRPr="00E87CD9">
              <w:rPr>
                <w:color w:val="auto"/>
                <w:sz w:val="27"/>
                <w:szCs w:val="27"/>
              </w:rPr>
              <w:t>±</w:t>
            </w:r>
            <w:r w:rsidRPr="00E87CD9">
              <w:rPr>
                <w:color w:val="auto"/>
                <w:sz w:val="27"/>
                <w:szCs w:val="27"/>
                <w:lang w:eastAsia="ru-RU"/>
              </w:rPr>
              <w:t>3,8 *</w:t>
            </w:r>
          </w:p>
        </w:tc>
      </w:tr>
      <w:tr w:rsidR="0034389B" w:rsidRPr="00E87CD9" w:rsidTr="008D5EEA">
        <w:trPr>
          <w:trHeight w:val="655"/>
          <w:jc w:val="center"/>
        </w:trPr>
        <w:tc>
          <w:tcPr>
            <w:tcW w:w="595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8D5EEA">
            <w:pPr>
              <w:pStyle w:val="WW-"/>
              <w:spacing w:after="0" w:line="240" w:lineRule="auto"/>
              <w:jc w:val="center"/>
              <w:rPr>
                <w:rFonts w:ascii="Times New Roman" w:hAnsi="Times New Roman" w:cs="Times New Roman"/>
                <w:color w:val="auto"/>
                <w:sz w:val="27"/>
                <w:szCs w:val="27"/>
                <w:lang w:val="uk-UA"/>
              </w:rPr>
            </w:pPr>
            <w:r w:rsidRPr="00E87CD9">
              <w:rPr>
                <w:rFonts w:ascii="Times New Roman" w:hAnsi="Times New Roman" w:cs="Times New Roman"/>
                <w:color w:val="auto"/>
                <w:sz w:val="27"/>
                <w:szCs w:val="27"/>
                <w:lang w:val="uk-UA"/>
              </w:rPr>
              <w:t>ОА</w:t>
            </w:r>
            <w:r w:rsidRPr="00E87CD9">
              <w:rPr>
                <w:rFonts w:ascii="Times New Roman" w:hAnsi="Times New Roman" w:cs="Times New Roman"/>
                <w:color w:val="auto"/>
                <w:sz w:val="27"/>
                <w:szCs w:val="27"/>
              </w:rPr>
              <w:t> </w:t>
            </w:r>
            <w:r w:rsidRPr="00E87CD9">
              <w:rPr>
                <w:rFonts w:ascii="Times New Roman" w:hAnsi="Times New Roman" w:cs="Times New Roman"/>
                <w:color w:val="auto"/>
                <w:sz w:val="27"/>
                <w:szCs w:val="27"/>
                <w:lang w:val="uk-UA"/>
              </w:rPr>
              <w:t>+</w:t>
            </w:r>
            <w:r w:rsidRPr="00E87CD9">
              <w:rPr>
                <w:rFonts w:ascii="Times New Roman" w:hAnsi="Times New Roman" w:cs="Times New Roman"/>
                <w:color w:val="auto"/>
                <w:sz w:val="27"/>
                <w:szCs w:val="27"/>
              </w:rPr>
              <w:t> </w:t>
            </w:r>
            <w:r w:rsidRPr="00E87CD9">
              <w:rPr>
                <w:rFonts w:ascii="Times New Roman" w:hAnsi="Times New Roman" w:cs="Times New Roman"/>
                <w:color w:val="auto"/>
                <w:sz w:val="27"/>
                <w:szCs w:val="27"/>
                <w:lang w:val="uk-UA"/>
              </w:rPr>
              <w:t>ГІТ + Диклофенак натрію</w:t>
            </w:r>
            <w:r w:rsidR="00DD3664" w:rsidRPr="00E87CD9">
              <w:rPr>
                <w:rFonts w:ascii="Times New Roman" w:hAnsi="Times New Roman" w:cs="Times New Roman"/>
                <w:color w:val="auto"/>
                <w:sz w:val="27"/>
                <w:szCs w:val="27"/>
                <w:lang w:val="uk-UA"/>
              </w:rPr>
              <w:t xml:space="preserve"> 1</w:t>
            </w:r>
            <w:r w:rsidRPr="00E87CD9">
              <w:rPr>
                <w:rFonts w:ascii="Times New Roman" w:hAnsi="Times New Roman" w:cs="Times New Roman"/>
                <w:color w:val="auto"/>
                <w:sz w:val="27"/>
                <w:szCs w:val="27"/>
                <w:lang w:val="uk-UA"/>
              </w:rPr>
              <w:t xml:space="preserve">0 мг/ кг + Хондроїтин сульфат35 мг/кг + </w:t>
            </w:r>
            <w:r w:rsidRPr="00E87CD9">
              <w:rPr>
                <w:rFonts w:ascii="Times New Roman" w:hAnsi="Times New Roman" w:cs="Times New Roman"/>
                <w:color w:val="auto"/>
                <w:sz w:val="27"/>
                <w:szCs w:val="27"/>
              </w:rPr>
              <w:t>L</w:t>
            </w:r>
            <w:r w:rsidRPr="00E87CD9">
              <w:rPr>
                <w:rFonts w:ascii="Times New Roman" w:hAnsi="Times New Roman" w:cs="Times New Roman"/>
                <w:color w:val="auto"/>
                <w:sz w:val="27"/>
                <w:szCs w:val="27"/>
                <w:lang w:val="uk-UA"/>
              </w:rPr>
              <w:t xml:space="preserve">-тироксин </w:t>
            </w:r>
            <w:r w:rsidRPr="00E87CD9">
              <w:rPr>
                <w:rFonts w:ascii="Times New Roman" w:hAnsi="Times New Roman" w:cs="Times New Roman"/>
                <w:color w:val="auto"/>
                <w:sz w:val="27"/>
                <w:szCs w:val="27"/>
                <w:lang w:val="uk-UA" w:eastAsia="ru-RU"/>
              </w:rPr>
              <w:t>(</w:t>
            </w:r>
            <w:r w:rsidRPr="00E87CD9">
              <w:rPr>
                <w:rFonts w:ascii="Times New Roman" w:hAnsi="Times New Roman" w:cs="Times New Roman"/>
                <w:color w:val="auto"/>
                <w:sz w:val="27"/>
                <w:szCs w:val="27"/>
                <w:lang w:eastAsia="ru-RU"/>
              </w:rPr>
              <w:t>n</w:t>
            </w:r>
            <w:r w:rsidRPr="00E87CD9">
              <w:rPr>
                <w:rFonts w:ascii="Times New Roman" w:hAnsi="Times New Roman" w:cs="Times New Roman"/>
                <w:color w:val="auto"/>
                <w:sz w:val="27"/>
                <w:szCs w:val="27"/>
                <w:lang w:val="uk-UA" w:eastAsia="ru-RU"/>
              </w:rPr>
              <w:t>=10)</w:t>
            </w:r>
          </w:p>
        </w:tc>
        <w:tc>
          <w:tcPr>
            <w:tcW w:w="2980" w:type="dxa"/>
            <w:tcBorders>
              <w:top w:val="single" w:sz="4" w:space="0" w:color="auto"/>
              <w:left w:val="single" w:sz="4" w:space="0" w:color="auto"/>
              <w:bottom w:val="single" w:sz="4" w:space="0" w:color="auto"/>
              <w:right w:val="single" w:sz="4" w:space="0" w:color="auto"/>
            </w:tcBorders>
            <w:vAlign w:val="center"/>
            <w:hideMark/>
          </w:tcPr>
          <w:p w:rsidR="0034389B" w:rsidRPr="00E87CD9" w:rsidRDefault="0034389B" w:rsidP="008D5EEA">
            <w:pPr>
              <w:jc w:val="center"/>
              <w:rPr>
                <w:color w:val="auto"/>
                <w:sz w:val="27"/>
                <w:szCs w:val="27"/>
              </w:rPr>
            </w:pPr>
            <w:r w:rsidRPr="00E87CD9">
              <w:rPr>
                <w:color w:val="auto"/>
                <w:sz w:val="27"/>
                <w:szCs w:val="27"/>
                <w:lang w:eastAsia="ru-RU"/>
              </w:rPr>
              <w:t>6,5</w:t>
            </w:r>
            <w:r w:rsidRPr="00E87CD9">
              <w:rPr>
                <w:color w:val="auto"/>
                <w:sz w:val="27"/>
                <w:szCs w:val="27"/>
              </w:rPr>
              <w:t>±</w:t>
            </w:r>
            <w:r w:rsidRPr="00E87CD9">
              <w:rPr>
                <w:color w:val="auto"/>
                <w:sz w:val="27"/>
                <w:szCs w:val="27"/>
                <w:lang w:eastAsia="ru-RU"/>
              </w:rPr>
              <w:t>0,9 *</w:t>
            </w:r>
          </w:p>
        </w:tc>
      </w:tr>
    </w:tbl>
    <w:p w:rsidR="00417DC7" w:rsidRPr="00E87CD9" w:rsidRDefault="00DD3664" w:rsidP="008D5EEA">
      <w:pPr>
        <w:spacing w:before="120"/>
        <w:ind w:firstLine="709"/>
        <w:jc w:val="both"/>
        <w:rPr>
          <w:color w:val="auto"/>
          <w:sz w:val="28"/>
          <w:szCs w:val="28"/>
        </w:rPr>
      </w:pPr>
      <w:r w:rsidRPr="00E87CD9">
        <w:rPr>
          <w:bCs/>
          <w:iCs/>
          <w:color w:val="auto"/>
          <w:sz w:val="28"/>
          <w:szCs w:val="28"/>
        </w:rPr>
        <w:t>Примітка.</w:t>
      </w:r>
      <w:r w:rsidR="00417DC7" w:rsidRPr="00E87CD9">
        <w:rPr>
          <w:iCs/>
          <w:color w:val="auto"/>
          <w:sz w:val="28"/>
          <w:szCs w:val="28"/>
        </w:rPr>
        <w:t xml:space="preserve"> * </w:t>
      </w:r>
      <w:r w:rsidR="00417DC7" w:rsidRPr="00E87CD9">
        <w:rPr>
          <w:rFonts w:eastAsia="Calibri"/>
          <w:iCs/>
          <w:color w:val="auto"/>
          <w:sz w:val="28"/>
          <w:szCs w:val="28"/>
        </w:rPr>
        <w:t>- р</w:t>
      </w:r>
      <w:r w:rsidR="005D3C54" w:rsidRPr="00E87CD9">
        <w:rPr>
          <w:color w:val="auto"/>
          <w:sz w:val="28"/>
          <w:szCs w:val="28"/>
          <w:lang w:eastAsia="ru-RU"/>
        </w:rPr>
        <w:t>&lt;</w:t>
      </w:r>
      <w:r w:rsidR="005D3C54" w:rsidRPr="00E87CD9">
        <w:rPr>
          <w:rFonts w:eastAsia="Calibri"/>
          <w:iCs/>
          <w:color w:val="auto"/>
          <w:sz w:val="28"/>
          <w:szCs w:val="28"/>
        </w:rPr>
        <w:t>0,001</w:t>
      </w:r>
      <w:r w:rsidR="00417DC7" w:rsidRPr="00E87CD9">
        <w:rPr>
          <w:rFonts w:eastAsia="Calibri"/>
          <w:iCs/>
          <w:color w:val="auto"/>
          <w:sz w:val="28"/>
          <w:szCs w:val="28"/>
        </w:rPr>
        <w:t xml:space="preserve"> у порівнянні з показниками групи активного контролю (</w:t>
      </w:r>
      <w:r w:rsidRPr="00E87CD9">
        <w:rPr>
          <w:color w:val="auto"/>
          <w:sz w:val="28"/>
          <w:szCs w:val="28"/>
        </w:rPr>
        <w:t>ОА + ГІТ</w:t>
      </w:r>
      <w:r w:rsidR="00417DC7" w:rsidRPr="00E87CD9">
        <w:rPr>
          <w:color w:val="auto"/>
          <w:sz w:val="28"/>
          <w:szCs w:val="28"/>
        </w:rPr>
        <w:t>).</w:t>
      </w:r>
    </w:p>
    <w:p w:rsidR="00417DC7" w:rsidRPr="00E87CD9" w:rsidRDefault="00417DC7" w:rsidP="00417DC7">
      <w:pPr>
        <w:pStyle w:val="WW-"/>
        <w:spacing w:after="0" w:line="240" w:lineRule="auto"/>
        <w:ind w:firstLine="709"/>
        <w:jc w:val="both"/>
        <w:rPr>
          <w:rFonts w:ascii="Times New Roman" w:eastAsia="Times New Roman" w:hAnsi="Times New Roman" w:cs="Times New Roman"/>
          <w:color w:val="auto"/>
          <w:sz w:val="28"/>
          <w:szCs w:val="28"/>
          <w:lang w:val="uk-UA" w:eastAsia="ru-RU"/>
        </w:rPr>
      </w:pPr>
    </w:p>
    <w:p w:rsidR="00417DC7" w:rsidRPr="00E87CD9" w:rsidRDefault="00417DC7" w:rsidP="00417DC7">
      <w:pPr>
        <w:pStyle w:val="WW-"/>
        <w:spacing w:after="0" w:line="240" w:lineRule="auto"/>
        <w:ind w:firstLine="709"/>
        <w:jc w:val="both"/>
        <w:rPr>
          <w:rFonts w:ascii="Times New Roman" w:eastAsia="Times New Roman" w:hAnsi="Times New Roman" w:cs="Times New Roman"/>
          <w:color w:val="auto"/>
          <w:sz w:val="28"/>
          <w:szCs w:val="28"/>
          <w:lang w:val="uk-UA" w:eastAsia="ru-RU"/>
        </w:rPr>
      </w:pPr>
      <w:r w:rsidRPr="00E87CD9">
        <w:rPr>
          <w:rFonts w:ascii="Times New Roman" w:eastAsia="Times New Roman" w:hAnsi="Times New Roman" w:cs="Times New Roman"/>
          <w:color w:val="auto"/>
          <w:sz w:val="28"/>
          <w:szCs w:val="28"/>
          <w:lang w:val="uk-UA" w:eastAsia="ru-RU"/>
        </w:rPr>
        <w:t xml:space="preserve">Таким чином, аналіз </w:t>
      </w:r>
      <w:r w:rsidR="00275EE4" w:rsidRPr="00E87CD9">
        <w:rPr>
          <w:rFonts w:ascii="Times New Roman" w:eastAsia="Times New Roman" w:hAnsi="Times New Roman" w:cs="Times New Roman"/>
          <w:color w:val="auto"/>
          <w:sz w:val="28"/>
          <w:szCs w:val="28"/>
          <w:lang w:val="uk-UA" w:eastAsia="ru-RU"/>
        </w:rPr>
        <w:t>результатів проведених досліджень</w:t>
      </w:r>
      <w:r w:rsidR="00D32A96" w:rsidRPr="00E87CD9">
        <w:rPr>
          <w:rFonts w:ascii="Times New Roman" w:eastAsia="Times New Roman" w:hAnsi="Times New Roman" w:cs="Times New Roman"/>
          <w:color w:val="auto"/>
          <w:sz w:val="28"/>
          <w:szCs w:val="28"/>
          <w:lang w:val="uk-UA" w:eastAsia="ru-RU"/>
        </w:rPr>
        <w:t>за комбінованого застосування</w:t>
      </w:r>
      <w:r w:rsidRPr="00E87CD9">
        <w:rPr>
          <w:rFonts w:ascii="Times New Roman" w:eastAsia="Times New Roman" w:hAnsi="Times New Roman" w:cs="Times New Roman"/>
          <w:color w:val="auto"/>
          <w:sz w:val="28"/>
          <w:szCs w:val="28"/>
          <w:lang w:val="uk-UA" w:eastAsia="ru-RU"/>
        </w:rPr>
        <w:t xml:space="preserve"> д</w:t>
      </w:r>
      <w:r w:rsidRPr="00E87CD9">
        <w:rPr>
          <w:rFonts w:ascii="Times New Roman" w:hAnsi="Times New Roman" w:cs="Times New Roman"/>
          <w:color w:val="auto"/>
          <w:sz w:val="28"/>
          <w:szCs w:val="28"/>
          <w:lang w:val="uk-UA"/>
        </w:rPr>
        <w:t>иклофенак</w:t>
      </w:r>
      <w:r w:rsidR="005D3C54" w:rsidRPr="00E87CD9">
        <w:rPr>
          <w:rFonts w:ascii="Times New Roman" w:hAnsi="Times New Roman" w:cs="Times New Roman"/>
          <w:color w:val="auto"/>
          <w:sz w:val="28"/>
          <w:szCs w:val="28"/>
          <w:lang w:val="uk-UA"/>
        </w:rPr>
        <w:t>у</w:t>
      </w:r>
      <w:r w:rsidRPr="00E87CD9">
        <w:rPr>
          <w:rFonts w:ascii="Times New Roman" w:hAnsi="Times New Roman" w:cs="Times New Roman"/>
          <w:color w:val="auto"/>
          <w:sz w:val="28"/>
          <w:szCs w:val="28"/>
          <w:lang w:val="uk-UA"/>
        </w:rPr>
        <w:t xml:space="preserve"> натрію</w:t>
      </w:r>
      <w:r w:rsidR="00D32A96" w:rsidRPr="00E87CD9">
        <w:rPr>
          <w:rFonts w:ascii="Times New Roman" w:hAnsi="Times New Roman" w:cs="Times New Roman"/>
          <w:color w:val="auto"/>
          <w:sz w:val="28"/>
          <w:szCs w:val="28"/>
          <w:lang w:val="uk-UA"/>
        </w:rPr>
        <w:t>,ХС та</w:t>
      </w:r>
      <w:r w:rsidRPr="00E87CD9">
        <w:rPr>
          <w:rFonts w:ascii="Times New Roman" w:hAnsi="Times New Roman" w:cs="Times New Roman"/>
          <w:color w:val="auto"/>
          <w:sz w:val="28"/>
          <w:szCs w:val="28"/>
          <w:lang w:val="uk-UA"/>
        </w:rPr>
        <w:t xml:space="preserve"> L-тироксин</w:t>
      </w:r>
      <w:r w:rsidR="00D32A96" w:rsidRPr="00E87CD9">
        <w:rPr>
          <w:rFonts w:ascii="Times New Roman" w:hAnsi="Times New Roman" w:cs="Times New Roman"/>
          <w:color w:val="auto"/>
          <w:sz w:val="28"/>
          <w:szCs w:val="28"/>
          <w:lang w:val="uk-UA"/>
        </w:rPr>
        <w:t>у</w:t>
      </w:r>
      <w:r w:rsidRPr="00E87CD9">
        <w:rPr>
          <w:rStyle w:val="Default20Paragraph20Font"/>
          <w:rFonts w:ascii="Times New Roman" w:hAnsi="Times New Roman" w:cs="Times New Roman"/>
          <w:bCs/>
          <w:iCs/>
          <w:color w:val="auto"/>
          <w:sz w:val="28"/>
          <w:szCs w:val="28"/>
          <w:lang w:val="uk-UA"/>
        </w:rPr>
        <w:t>на модел</w:t>
      </w:r>
      <w:r w:rsidR="00D32A96" w:rsidRPr="00E87CD9">
        <w:rPr>
          <w:rStyle w:val="Default20Paragraph20Font"/>
          <w:rFonts w:ascii="Times New Roman" w:hAnsi="Times New Roman" w:cs="Times New Roman"/>
          <w:bCs/>
          <w:iCs/>
          <w:color w:val="auto"/>
          <w:sz w:val="28"/>
          <w:szCs w:val="28"/>
          <w:lang w:val="uk-UA"/>
        </w:rPr>
        <w:t>ях</w:t>
      </w:r>
      <w:r w:rsidRPr="00E87CD9">
        <w:rPr>
          <w:rStyle w:val="Default20Paragraph20Font"/>
          <w:rFonts w:ascii="Times New Roman" w:hAnsi="Times New Roman" w:cs="Times New Roman"/>
          <w:bCs/>
          <w:iCs/>
          <w:color w:val="auto"/>
          <w:sz w:val="28"/>
          <w:szCs w:val="28"/>
          <w:lang w:val="uk-UA"/>
        </w:rPr>
        <w:t xml:space="preserve"> електрошкірного подразнення хвоста щура, </w:t>
      </w:r>
      <w:r w:rsidRPr="00E87CD9">
        <w:rPr>
          <w:rFonts w:ascii="Times New Roman" w:eastAsia="Times New Roman" w:hAnsi="Times New Roman" w:cs="Times New Roman"/>
          <w:bCs/>
          <w:color w:val="auto"/>
          <w:sz w:val="28"/>
          <w:szCs w:val="28"/>
          <w:lang w:val="uk-UA" w:eastAsia="ru-RU"/>
        </w:rPr>
        <w:t xml:space="preserve">термоподразнення хвоста щура та «оцтовокислих корчів» </w:t>
      </w:r>
      <w:r w:rsidRPr="00E87CD9">
        <w:rPr>
          <w:rFonts w:ascii="Times New Roman" w:eastAsia="Times New Roman" w:hAnsi="Times New Roman" w:cs="Times New Roman"/>
          <w:color w:val="auto"/>
          <w:sz w:val="28"/>
          <w:szCs w:val="28"/>
          <w:lang w:val="uk-UA" w:eastAsia="ru-RU"/>
        </w:rPr>
        <w:t>при одноразовому</w:t>
      </w:r>
      <w:r w:rsidR="00D32A96" w:rsidRPr="00E87CD9">
        <w:rPr>
          <w:rFonts w:ascii="Times New Roman" w:eastAsia="Times New Roman" w:hAnsi="Times New Roman" w:cs="Times New Roman"/>
          <w:color w:val="auto"/>
          <w:sz w:val="28"/>
          <w:szCs w:val="28"/>
          <w:lang w:val="uk-UA" w:eastAsia="ru-RU"/>
        </w:rPr>
        <w:t xml:space="preserve"> внутрішньошлунковому введен</w:t>
      </w:r>
      <w:r w:rsidR="008D5EEA" w:rsidRPr="00E87CD9">
        <w:rPr>
          <w:rFonts w:ascii="Times New Roman" w:eastAsia="Times New Roman" w:hAnsi="Times New Roman" w:cs="Times New Roman"/>
          <w:color w:val="auto"/>
          <w:sz w:val="28"/>
          <w:szCs w:val="28"/>
          <w:lang w:val="uk-UA" w:eastAsia="ru-RU"/>
        </w:rPr>
        <w:t>н</w:t>
      </w:r>
      <w:r w:rsidR="00D32A96" w:rsidRPr="00E87CD9">
        <w:rPr>
          <w:rFonts w:ascii="Times New Roman" w:eastAsia="Times New Roman" w:hAnsi="Times New Roman" w:cs="Times New Roman"/>
          <w:color w:val="auto"/>
          <w:sz w:val="28"/>
          <w:szCs w:val="28"/>
          <w:lang w:val="uk-UA" w:eastAsia="ru-RU"/>
        </w:rPr>
        <w:t xml:space="preserve">і </w:t>
      </w:r>
      <w:r w:rsidRPr="00E87CD9">
        <w:rPr>
          <w:rFonts w:ascii="Times New Roman" w:eastAsia="Times New Roman" w:hAnsi="Times New Roman" w:cs="Times New Roman"/>
          <w:color w:val="auto"/>
          <w:sz w:val="28"/>
          <w:szCs w:val="28"/>
          <w:lang w:val="uk-UA" w:eastAsia="ru-RU"/>
        </w:rPr>
        <w:t xml:space="preserve">визначив виражений аналгетичний ефект, </w:t>
      </w:r>
      <w:r w:rsidR="00275EE4" w:rsidRPr="00E87CD9">
        <w:rPr>
          <w:rFonts w:ascii="Times New Roman" w:eastAsia="Times New Roman" w:hAnsi="Times New Roman" w:cs="Times New Roman"/>
          <w:color w:val="auto"/>
          <w:sz w:val="28"/>
          <w:szCs w:val="28"/>
          <w:lang w:val="uk-UA" w:eastAsia="ru-RU"/>
        </w:rPr>
        <w:t>що</w:t>
      </w:r>
      <w:r w:rsidRPr="00E87CD9">
        <w:rPr>
          <w:rFonts w:ascii="Times New Roman" w:eastAsia="Times New Roman" w:hAnsi="Times New Roman" w:cs="Times New Roman"/>
          <w:color w:val="auto"/>
          <w:sz w:val="28"/>
          <w:szCs w:val="28"/>
          <w:lang w:val="uk-UA" w:eastAsia="ru-RU"/>
        </w:rPr>
        <w:t xml:space="preserve"> за силою дії перевищу</w:t>
      </w:r>
      <w:r w:rsidR="00275EE4" w:rsidRPr="00E87CD9">
        <w:rPr>
          <w:rFonts w:ascii="Times New Roman" w:eastAsia="Times New Roman" w:hAnsi="Times New Roman" w:cs="Times New Roman"/>
          <w:color w:val="auto"/>
          <w:sz w:val="28"/>
          <w:szCs w:val="28"/>
          <w:lang w:val="uk-UA" w:eastAsia="ru-RU"/>
        </w:rPr>
        <w:t>вав</w:t>
      </w:r>
      <w:r w:rsidRPr="00E87CD9">
        <w:rPr>
          <w:rFonts w:ascii="Times New Roman" w:eastAsia="Times New Roman" w:hAnsi="Times New Roman" w:cs="Times New Roman"/>
          <w:color w:val="auto"/>
          <w:sz w:val="28"/>
          <w:szCs w:val="28"/>
          <w:lang w:val="uk-UA" w:eastAsia="ru-RU"/>
        </w:rPr>
        <w:t xml:space="preserve"> дію окремих </w:t>
      </w:r>
      <w:r w:rsidR="00275EE4" w:rsidRPr="00E87CD9">
        <w:rPr>
          <w:rFonts w:ascii="Times New Roman" w:eastAsia="Times New Roman" w:hAnsi="Times New Roman" w:cs="Times New Roman"/>
          <w:color w:val="auto"/>
          <w:sz w:val="28"/>
          <w:szCs w:val="28"/>
          <w:lang w:val="uk-UA" w:eastAsia="ru-RU"/>
        </w:rPr>
        <w:t>препаратів</w:t>
      </w:r>
      <w:r w:rsidRPr="00E87CD9">
        <w:rPr>
          <w:rFonts w:ascii="Times New Roman" w:eastAsia="Times New Roman" w:hAnsi="Times New Roman" w:cs="Times New Roman"/>
          <w:color w:val="auto"/>
          <w:sz w:val="28"/>
          <w:szCs w:val="28"/>
          <w:lang w:val="uk-UA" w:eastAsia="ru-RU"/>
        </w:rPr>
        <w:t>.</w:t>
      </w:r>
    </w:p>
    <w:p w:rsidR="00417DC7" w:rsidRPr="00E87CD9" w:rsidRDefault="00417DC7" w:rsidP="00E03641">
      <w:pPr>
        <w:pStyle w:val="WW-"/>
        <w:spacing w:before="120" w:after="0" w:line="240" w:lineRule="auto"/>
        <w:ind w:firstLine="709"/>
        <w:jc w:val="both"/>
        <w:rPr>
          <w:rStyle w:val="translation-chunk"/>
          <w:rFonts w:ascii="Times New Roman" w:hAnsi="Times New Roman" w:cs="Times New Roman"/>
          <w:bCs/>
          <w:color w:val="auto"/>
          <w:sz w:val="28"/>
          <w:szCs w:val="28"/>
          <w:lang w:val="uk-UA"/>
        </w:rPr>
      </w:pPr>
      <w:r w:rsidRPr="00E87CD9">
        <w:rPr>
          <w:rStyle w:val="translation-chunk"/>
          <w:rFonts w:ascii="Times New Roman" w:hAnsi="Times New Roman" w:cs="Times New Roman"/>
          <w:bCs/>
          <w:color w:val="auto"/>
          <w:sz w:val="28"/>
          <w:szCs w:val="28"/>
          <w:lang w:val="uk-UA"/>
        </w:rPr>
        <w:lastRenderedPageBreak/>
        <w:t xml:space="preserve">Наступним етапом дослідження був </w:t>
      </w:r>
      <w:r w:rsidRPr="00E87CD9">
        <w:rPr>
          <w:rStyle w:val="translation-chunk"/>
          <w:rFonts w:ascii="Times New Roman" w:hAnsi="Times New Roman" w:cs="Times New Roman"/>
          <w:bCs/>
          <w:i/>
          <w:color w:val="auto"/>
          <w:sz w:val="28"/>
          <w:szCs w:val="28"/>
          <w:lang w:val="uk-UA"/>
        </w:rPr>
        <w:t xml:space="preserve">біофармацевтичний аналіз взаємодії </w:t>
      </w:r>
      <w:r w:rsidRPr="00E87CD9">
        <w:rPr>
          <w:rFonts w:ascii="Times New Roman" w:hAnsi="Times New Roman" w:cs="Times New Roman"/>
          <w:bCs/>
          <w:i/>
          <w:color w:val="auto"/>
          <w:sz w:val="28"/>
          <w:szCs w:val="28"/>
          <w:lang w:val="uk-UA"/>
        </w:rPr>
        <w:t>L-тироксину, диклофенаку натрі</w:t>
      </w:r>
      <w:r w:rsidR="009B4E22" w:rsidRPr="00E87CD9">
        <w:rPr>
          <w:rFonts w:ascii="Times New Roman" w:hAnsi="Times New Roman" w:cs="Times New Roman"/>
          <w:bCs/>
          <w:i/>
          <w:color w:val="auto"/>
          <w:sz w:val="28"/>
          <w:szCs w:val="28"/>
          <w:lang w:val="uk-UA"/>
        </w:rPr>
        <w:t>ю</w:t>
      </w:r>
      <w:r w:rsidRPr="00E87CD9">
        <w:rPr>
          <w:rFonts w:ascii="Times New Roman" w:hAnsi="Times New Roman" w:cs="Times New Roman"/>
          <w:bCs/>
          <w:i/>
          <w:color w:val="auto"/>
          <w:sz w:val="28"/>
          <w:szCs w:val="28"/>
          <w:lang w:val="uk-UA"/>
        </w:rPr>
        <w:t xml:space="preserve"> та хондроїтину сульфату, як компонентів </w:t>
      </w:r>
      <w:r w:rsidRPr="00E87CD9">
        <w:rPr>
          <w:rStyle w:val="translation-chunk"/>
          <w:rFonts w:ascii="Times New Roman" w:hAnsi="Times New Roman" w:cs="Times New Roman"/>
          <w:bCs/>
          <w:i/>
          <w:color w:val="auto"/>
          <w:sz w:val="28"/>
          <w:szCs w:val="28"/>
          <w:lang w:val="uk-UA"/>
        </w:rPr>
        <w:t>фармакотерапії больового синдрому, запалення та гормональної дисфункції ЩЗ</w:t>
      </w:r>
      <w:r w:rsidRPr="00E87CD9">
        <w:rPr>
          <w:rStyle w:val="translation-chunk"/>
          <w:rFonts w:ascii="Times New Roman" w:hAnsi="Times New Roman" w:cs="Times New Roman"/>
          <w:bCs/>
          <w:color w:val="auto"/>
          <w:sz w:val="28"/>
          <w:szCs w:val="28"/>
          <w:lang w:val="uk-UA"/>
        </w:rPr>
        <w:t>.</w:t>
      </w:r>
    </w:p>
    <w:p w:rsidR="00417DC7" w:rsidRPr="00E87CD9" w:rsidRDefault="00417DC7" w:rsidP="00417DC7">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На підставі аналізу отриманих даних встановлено, щовиходячи з фізико-хімічних та хімічних властивостей L-тироксину, диклофенаку натрію та </w:t>
      </w:r>
      <w:r w:rsidR="00275EE4" w:rsidRPr="00E87CD9">
        <w:rPr>
          <w:rFonts w:ascii="Times New Roman" w:hAnsi="Times New Roman" w:cs="Times New Roman"/>
          <w:color w:val="auto"/>
          <w:sz w:val="28"/>
          <w:szCs w:val="28"/>
          <w:lang w:val="uk-UA"/>
        </w:rPr>
        <w:t>ХС</w:t>
      </w:r>
      <w:r w:rsidRPr="00E87CD9">
        <w:rPr>
          <w:rFonts w:ascii="Times New Roman" w:hAnsi="Times New Roman" w:cs="Times New Roman"/>
          <w:color w:val="auto"/>
          <w:sz w:val="28"/>
          <w:szCs w:val="28"/>
          <w:lang w:val="uk-UA"/>
        </w:rPr>
        <w:t xml:space="preserve"> можливі тільки зворотні кислотно-лужні взаємодії. Ймовірність інших, сильних та незворотних реакцій є дуже низькою та за звичайних умов фізичні суміші цих сполук очікувано не піддаватимуться взаємодіям, які призводитимуть до глибоких деструктивних змін.</w:t>
      </w:r>
    </w:p>
    <w:p w:rsidR="00417DC7" w:rsidRPr="00E87CD9" w:rsidRDefault="00417DC7" w:rsidP="00417DC7">
      <w:pPr>
        <w:widowControl w:val="0"/>
        <w:ind w:firstLine="709"/>
        <w:jc w:val="both"/>
        <w:rPr>
          <w:color w:val="auto"/>
          <w:sz w:val="28"/>
          <w:szCs w:val="28"/>
        </w:rPr>
      </w:pPr>
      <w:r w:rsidRPr="00E87CD9">
        <w:rPr>
          <w:color w:val="auto"/>
          <w:sz w:val="28"/>
          <w:szCs w:val="28"/>
        </w:rPr>
        <w:t xml:space="preserve">Встановлено, що L-тироксин, диклофенак натрію та </w:t>
      </w:r>
      <w:r w:rsidR="00275EE4" w:rsidRPr="00E87CD9">
        <w:rPr>
          <w:color w:val="auto"/>
          <w:sz w:val="28"/>
          <w:szCs w:val="28"/>
        </w:rPr>
        <w:t>ХС</w:t>
      </w:r>
      <w:r w:rsidRPr="00E87CD9">
        <w:rPr>
          <w:color w:val="auto"/>
          <w:sz w:val="28"/>
          <w:szCs w:val="28"/>
        </w:rPr>
        <w:t xml:space="preserve"> абсорбуються шляхом простої дифузії, мають різні механізми транспорту крізь біологічні мембрани, різний ступінь зв’язування з білками плазми крові та різні ферментні системи, що залучені до їх метаболізму й екскреції</w:t>
      </w:r>
      <w:r w:rsidR="00926282" w:rsidRPr="00E87CD9">
        <w:rPr>
          <w:color w:val="auto"/>
          <w:sz w:val="28"/>
          <w:szCs w:val="28"/>
        </w:rPr>
        <w:t>,</w:t>
      </w:r>
      <w:r w:rsidRPr="00E87CD9">
        <w:rPr>
          <w:color w:val="auto"/>
          <w:sz w:val="28"/>
          <w:szCs w:val="28"/>
        </w:rPr>
        <w:t xml:space="preserve"> тому </w:t>
      </w:r>
      <w:r w:rsidR="006D1197" w:rsidRPr="00E87CD9">
        <w:rPr>
          <w:color w:val="auto"/>
          <w:sz w:val="28"/>
          <w:szCs w:val="28"/>
        </w:rPr>
        <w:t xml:space="preserve">біофармацевтична взаємодія </w:t>
      </w:r>
      <w:r w:rsidRPr="00E87CD9">
        <w:rPr>
          <w:color w:val="auto"/>
          <w:sz w:val="28"/>
          <w:szCs w:val="28"/>
        </w:rPr>
        <w:t>між ними виключен</w:t>
      </w:r>
      <w:r w:rsidR="006D1197" w:rsidRPr="00E87CD9">
        <w:rPr>
          <w:color w:val="auto"/>
          <w:sz w:val="28"/>
          <w:szCs w:val="28"/>
        </w:rPr>
        <w:t>а</w:t>
      </w:r>
      <w:r w:rsidRPr="00E87CD9">
        <w:rPr>
          <w:color w:val="auto"/>
          <w:sz w:val="28"/>
          <w:szCs w:val="28"/>
        </w:rPr>
        <w:t>.</w:t>
      </w:r>
    </w:p>
    <w:p w:rsidR="00417DC7" w:rsidRPr="00E87CD9" w:rsidRDefault="00417DC7" w:rsidP="00417DC7">
      <w:pPr>
        <w:widowControl w:val="0"/>
        <w:ind w:firstLine="709"/>
        <w:jc w:val="both"/>
        <w:rPr>
          <w:color w:val="auto"/>
          <w:sz w:val="28"/>
          <w:szCs w:val="28"/>
        </w:rPr>
      </w:pPr>
      <w:r w:rsidRPr="00E87CD9">
        <w:rPr>
          <w:color w:val="auto"/>
          <w:sz w:val="28"/>
          <w:szCs w:val="28"/>
        </w:rPr>
        <w:t xml:space="preserve">Аналіз результатів показав, що на рівні фармакологічної взаємодії можна очікувати поєднаного та односпрямованого впливу комбінації активних речовин L-тироксину, диклофенаку натрію та </w:t>
      </w:r>
      <w:r w:rsidR="00275EE4" w:rsidRPr="00E87CD9">
        <w:rPr>
          <w:color w:val="auto"/>
          <w:sz w:val="28"/>
          <w:szCs w:val="28"/>
        </w:rPr>
        <w:t>ХС</w:t>
      </w:r>
      <w:r w:rsidRPr="00E87CD9">
        <w:rPr>
          <w:color w:val="auto"/>
          <w:sz w:val="28"/>
          <w:szCs w:val="28"/>
        </w:rPr>
        <w:t xml:space="preserve"> при дегенеративно-дистрофічних порушеннях внаслідок функціональної недостатності ЩЗ, для відновлення структури хрящової тканини та для комплексного етіологічного та симптоматичного лікування ОА та пов’язаних з ним станів.</w:t>
      </w:r>
    </w:p>
    <w:p w:rsidR="00417DC7" w:rsidRPr="00E87CD9" w:rsidRDefault="00417DC7" w:rsidP="00417DC7">
      <w:pPr>
        <w:ind w:firstLine="709"/>
        <w:jc w:val="both"/>
        <w:rPr>
          <w:color w:val="auto"/>
          <w:sz w:val="28"/>
          <w:szCs w:val="28"/>
        </w:rPr>
      </w:pPr>
      <w:r w:rsidRPr="00E87CD9">
        <w:rPr>
          <w:color w:val="auto"/>
          <w:sz w:val="28"/>
          <w:szCs w:val="28"/>
        </w:rPr>
        <w:t xml:space="preserve">Таким чином, проведене дослідження дозволило встановити, що використання комбінації L-тироксину, диклофенаку натрію та </w:t>
      </w:r>
      <w:r w:rsidR="00275EE4" w:rsidRPr="00E87CD9">
        <w:rPr>
          <w:color w:val="auto"/>
          <w:sz w:val="28"/>
          <w:szCs w:val="28"/>
        </w:rPr>
        <w:t>ХС</w:t>
      </w:r>
      <w:r w:rsidRPr="00E87CD9">
        <w:rPr>
          <w:color w:val="auto"/>
          <w:sz w:val="28"/>
          <w:szCs w:val="28"/>
        </w:rPr>
        <w:t xml:space="preserve"> на фоні ОА та ГІТ доцільно, як з боку фармакологічної активності - спостерігається більш потужний знеболювальний ефект – позитивна фармакодинаміка, так і з боку відсутності біофармацевтичної взаємодії між препаратами - компонентами комбінації - позитивна фармакокінетика. Призначення </w:t>
      </w:r>
      <w:r w:rsidR="00275EE4" w:rsidRPr="00E87CD9">
        <w:rPr>
          <w:color w:val="auto"/>
          <w:sz w:val="28"/>
          <w:szCs w:val="28"/>
        </w:rPr>
        <w:t>ХС</w:t>
      </w:r>
      <w:r w:rsidRPr="00E87CD9">
        <w:rPr>
          <w:color w:val="auto"/>
          <w:sz w:val="28"/>
          <w:szCs w:val="28"/>
        </w:rPr>
        <w:t xml:space="preserve"> сприяє позитивному впливу на перебіг патологічних змін за коморбідного стану, що характеризується відновленням морфометричних розмірів уражених суглобів, показників рухової, дослідницької та вегетативної активності щурів та біохімічних показників.</w:t>
      </w:r>
    </w:p>
    <w:p w:rsidR="00417DC7" w:rsidRPr="00E87CD9" w:rsidRDefault="00417DC7" w:rsidP="00E03641">
      <w:pPr>
        <w:spacing w:before="120"/>
        <w:ind w:firstLine="709"/>
        <w:jc w:val="both"/>
        <w:rPr>
          <w:bCs/>
          <w:i/>
          <w:color w:val="auto"/>
          <w:sz w:val="28"/>
          <w:szCs w:val="28"/>
        </w:rPr>
      </w:pPr>
      <w:r w:rsidRPr="00E87CD9">
        <w:rPr>
          <w:bCs/>
          <w:i/>
          <w:color w:val="auto"/>
          <w:sz w:val="28"/>
          <w:szCs w:val="28"/>
        </w:rPr>
        <w:t>Оцінка гістоморфологічних показників хрящової тканини щурів з експериментальним гіпотиреозом та остеоартрозом.</w:t>
      </w:r>
    </w:p>
    <w:p w:rsidR="00417DC7" w:rsidRPr="00E87CD9" w:rsidRDefault="00417DC7" w:rsidP="00417DC7">
      <w:pPr>
        <w:ind w:firstLine="709"/>
        <w:jc w:val="both"/>
        <w:rPr>
          <w:bCs/>
          <w:color w:val="auto"/>
          <w:sz w:val="28"/>
          <w:szCs w:val="28"/>
        </w:rPr>
      </w:pPr>
      <w:r w:rsidRPr="00E87CD9">
        <w:rPr>
          <w:color w:val="auto"/>
          <w:sz w:val="28"/>
          <w:szCs w:val="28"/>
          <w:lang w:eastAsia="ru-RU"/>
        </w:rPr>
        <w:t>Відомо, що метаболічні порушення при ГІТ негативно впливають на стан кісткової та хрящової тканини і обумовлюють розвиток ряду патологічних станів</w:t>
      </w:r>
      <w:r w:rsidR="00E03641" w:rsidRPr="00E87CD9">
        <w:rPr>
          <w:color w:val="auto"/>
          <w:sz w:val="28"/>
          <w:szCs w:val="28"/>
          <w:lang w:eastAsia="ru-RU"/>
        </w:rPr>
        <w:t>,</w:t>
      </w:r>
      <w:r w:rsidRPr="00E87CD9">
        <w:rPr>
          <w:color w:val="auto"/>
          <w:sz w:val="28"/>
          <w:szCs w:val="28"/>
          <w:lang w:eastAsia="ru-RU"/>
        </w:rPr>
        <w:t xml:space="preserve"> серед яких безумовно важливими є ОА та остеопороз.</w:t>
      </w:r>
    </w:p>
    <w:p w:rsidR="00417DC7" w:rsidRPr="00E87CD9" w:rsidRDefault="00417DC7" w:rsidP="00417DC7">
      <w:pPr>
        <w:ind w:firstLine="709"/>
        <w:jc w:val="both"/>
        <w:rPr>
          <w:color w:val="auto"/>
          <w:sz w:val="28"/>
          <w:szCs w:val="28"/>
        </w:rPr>
      </w:pPr>
      <w:r w:rsidRPr="00E87CD9">
        <w:rPr>
          <w:bCs/>
          <w:color w:val="auto"/>
          <w:sz w:val="28"/>
          <w:szCs w:val="28"/>
        </w:rPr>
        <w:t>Гістологічні дослідження хряща при ГІТ показали запалення синовіальної оболонки, порушення структури надхряща з явищами набухання, порушення трофіки глибоких шарів хряща, деструкці</w:t>
      </w:r>
      <w:r w:rsidR="00E03641" w:rsidRPr="00E87CD9">
        <w:rPr>
          <w:bCs/>
          <w:color w:val="auto"/>
          <w:sz w:val="28"/>
          <w:szCs w:val="28"/>
        </w:rPr>
        <w:t>ю</w:t>
      </w:r>
      <w:r w:rsidRPr="00E87CD9">
        <w:rPr>
          <w:bCs/>
          <w:color w:val="auto"/>
          <w:sz w:val="28"/>
          <w:szCs w:val="28"/>
        </w:rPr>
        <w:t xml:space="preserve"> хондроцитів, зміни гістохімічних властивостей аморфної речовини </w:t>
      </w:r>
      <w:r w:rsidRPr="00E87CD9">
        <w:rPr>
          <w:color w:val="auto"/>
          <w:sz w:val="28"/>
          <w:szCs w:val="28"/>
        </w:rPr>
        <w:t xml:space="preserve">(рис. </w:t>
      </w:r>
      <w:r w:rsidR="00E03641" w:rsidRPr="00E87CD9">
        <w:rPr>
          <w:color w:val="auto"/>
          <w:sz w:val="28"/>
          <w:szCs w:val="28"/>
        </w:rPr>
        <w:t>5.1</w:t>
      </w:r>
      <w:r w:rsidRPr="00E87CD9">
        <w:rPr>
          <w:color w:val="auto"/>
          <w:sz w:val="28"/>
          <w:szCs w:val="28"/>
        </w:rPr>
        <w:t>).</w:t>
      </w:r>
    </w:p>
    <w:p w:rsidR="00E03641" w:rsidRPr="00E87CD9" w:rsidRDefault="00E03641" w:rsidP="00E03641">
      <w:pPr>
        <w:ind w:firstLine="709"/>
        <w:jc w:val="both"/>
        <w:rPr>
          <w:bCs/>
          <w:color w:val="auto"/>
          <w:sz w:val="28"/>
          <w:szCs w:val="28"/>
        </w:rPr>
      </w:pPr>
      <w:r w:rsidRPr="00E87CD9">
        <w:rPr>
          <w:bCs/>
          <w:color w:val="auto"/>
          <w:sz w:val="28"/>
          <w:szCs w:val="28"/>
        </w:rPr>
        <w:t>Аналіз результатів проведеного дослідження дозволив виявити структурні зміни кістково-хрящової тканини на тлі гіпофункції ЩЗ, які свідчать про вплив гормональної недостатності на хрящову тканину та висвітлюють необхідність медикаментозної корекції виниклих порушень.</w:t>
      </w:r>
    </w:p>
    <w:p w:rsidR="004A6239" w:rsidRPr="00E87CD9" w:rsidRDefault="004A6239" w:rsidP="00417DC7">
      <w:pPr>
        <w:ind w:firstLine="709"/>
        <w:jc w:val="both"/>
        <w:rPr>
          <w:bCs/>
          <w:color w:val="auto"/>
          <w:sz w:val="28"/>
          <w:szCs w:val="28"/>
        </w:rPr>
      </w:pPr>
    </w:p>
    <w:p w:rsidR="00417DC7" w:rsidRPr="00E87CD9" w:rsidRDefault="00417DC7" w:rsidP="00010FEC">
      <w:pPr>
        <w:jc w:val="center"/>
        <w:rPr>
          <w:color w:val="auto"/>
          <w:sz w:val="28"/>
          <w:szCs w:val="28"/>
        </w:rPr>
      </w:pPr>
      <w:r w:rsidRPr="00E87CD9">
        <w:rPr>
          <w:noProof/>
          <w:color w:val="auto"/>
          <w:sz w:val="28"/>
          <w:szCs w:val="28"/>
          <w:lang w:val="ru-RU" w:eastAsia="ru-RU"/>
        </w:rPr>
        <w:drawing>
          <wp:inline distT="0" distB="0" distL="0" distR="0">
            <wp:extent cx="3070800" cy="22608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70800" cy="2260800"/>
                    </a:xfrm>
                    <a:prstGeom prst="rect">
                      <a:avLst/>
                    </a:prstGeom>
                    <a:noFill/>
                    <a:ln>
                      <a:noFill/>
                    </a:ln>
                  </pic:spPr>
                </pic:pic>
              </a:graphicData>
            </a:graphic>
          </wp:inline>
        </w:drawing>
      </w:r>
      <w:r w:rsidRPr="00E87CD9">
        <w:rPr>
          <w:noProof/>
          <w:color w:val="auto"/>
          <w:sz w:val="28"/>
          <w:szCs w:val="28"/>
          <w:lang w:val="ru-RU" w:eastAsia="ru-RU"/>
        </w:rPr>
        <w:drawing>
          <wp:inline distT="0" distB="0" distL="0" distR="0">
            <wp:extent cx="3020400" cy="228960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20400" cy="2289600"/>
                    </a:xfrm>
                    <a:prstGeom prst="rect">
                      <a:avLst/>
                    </a:prstGeom>
                    <a:noFill/>
                    <a:ln>
                      <a:noFill/>
                    </a:ln>
                  </pic:spPr>
                </pic:pic>
              </a:graphicData>
            </a:graphic>
          </wp:inline>
        </w:drawing>
      </w:r>
    </w:p>
    <w:p w:rsidR="004A6239" w:rsidRPr="00E87CD9" w:rsidRDefault="004A6239" w:rsidP="00417DC7">
      <w:pPr>
        <w:ind w:firstLine="709"/>
        <w:jc w:val="both"/>
        <w:rPr>
          <w:rFonts w:eastAsia="Calibri"/>
          <w:color w:val="auto"/>
          <w:sz w:val="28"/>
          <w:szCs w:val="28"/>
        </w:rPr>
      </w:pPr>
    </w:p>
    <w:p w:rsidR="00417DC7" w:rsidRPr="00E87CD9" w:rsidRDefault="00417DC7" w:rsidP="00417DC7">
      <w:pPr>
        <w:ind w:firstLine="709"/>
        <w:jc w:val="both"/>
        <w:rPr>
          <w:rFonts w:eastAsia="Calibri"/>
          <w:color w:val="auto"/>
          <w:sz w:val="28"/>
          <w:szCs w:val="28"/>
        </w:rPr>
      </w:pPr>
      <w:r w:rsidRPr="00E87CD9">
        <w:rPr>
          <w:rFonts w:eastAsia="Calibri"/>
          <w:color w:val="auto"/>
          <w:sz w:val="28"/>
          <w:szCs w:val="28"/>
        </w:rPr>
        <w:t xml:space="preserve">Рис. </w:t>
      </w:r>
      <w:r w:rsidR="00E03641" w:rsidRPr="00E87CD9">
        <w:rPr>
          <w:rFonts w:eastAsia="Calibri"/>
          <w:color w:val="auto"/>
          <w:sz w:val="28"/>
          <w:szCs w:val="28"/>
        </w:rPr>
        <w:t>5</w:t>
      </w:r>
      <w:r w:rsidRPr="00E87CD9">
        <w:rPr>
          <w:rFonts w:eastAsia="Calibri"/>
          <w:color w:val="auto"/>
          <w:sz w:val="28"/>
          <w:szCs w:val="28"/>
        </w:rPr>
        <w:t xml:space="preserve">. </w:t>
      </w:r>
      <w:r w:rsidRPr="00E87CD9">
        <w:rPr>
          <w:color w:val="auto"/>
          <w:sz w:val="28"/>
          <w:szCs w:val="28"/>
        </w:rPr>
        <w:t>Електронограма г</w:t>
      </w:r>
      <w:r w:rsidRPr="00E87CD9">
        <w:rPr>
          <w:rFonts w:eastAsia="Calibri"/>
          <w:color w:val="auto"/>
          <w:sz w:val="28"/>
          <w:szCs w:val="28"/>
        </w:rPr>
        <w:t>іалінового хряща д</w:t>
      </w:r>
      <w:r w:rsidRPr="00E87CD9">
        <w:rPr>
          <w:color w:val="auto"/>
          <w:sz w:val="28"/>
          <w:szCs w:val="28"/>
          <w:lang w:eastAsia="ru-RU"/>
        </w:rPr>
        <w:t>истального епіфізу стегнової кістки щура</w:t>
      </w:r>
      <w:r w:rsidRPr="00E87CD9">
        <w:rPr>
          <w:rFonts w:eastAsia="Calibri"/>
          <w:color w:val="auto"/>
          <w:sz w:val="28"/>
          <w:szCs w:val="28"/>
        </w:rPr>
        <w:t xml:space="preserve"> при патологічних станах.</w:t>
      </w:r>
    </w:p>
    <w:p w:rsidR="00417DC7" w:rsidRPr="00E87CD9" w:rsidRDefault="00417DC7" w:rsidP="00417DC7">
      <w:pPr>
        <w:ind w:firstLine="709"/>
        <w:jc w:val="both"/>
        <w:rPr>
          <w:color w:val="auto"/>
          <w:sz w:val="28"/>
          <w:szCs w:val="28"/>
        </w:rPr>
      </w:pPr>
      <w:r w:rsidRPr="00E87CD9">
        <w:rPr>
          <w:rFonts w:eastAsia="Calibri"/>
          <w:color w:val="auto"/>
          <w:sz w:val="28"/>
          <w:szCs w:val="28"/>
        </w:rPr>
        <w:t xml:space="preserve">1 - </w:t>
      </w:r>
      <w:r w:rsidRPr="00E87CD9">
        <w:rPr>
          <w:bCs/>
          <w:color w:val="auto"/>
          <w:sz w:val="28"/>
          <w:szCs w:val="28"/>
        </w:rPr>
        <w:t>структура при ГІТ</w:t>
      </w:r>
      <w:r w:rsidRPr="00E87CD9">
        <w:rPr>
          <w:color w:val="auto"/>
          <w:sz w:val="28"/>
          <w:szCs w:val="28"/>
        </w:rPr>
        <w:t>. Позначення</w:t>
      </w:r>
      <w:r w:rsidRPr="00E87CD9">
        <w:rPr>
          <w:bCs/>
          <w:color w:val="auto"/>
          <w:sz w:val="28"/>
          <w:szCs w:val="28"/>
          <w:lang w:eastAsia="ru-RU"/>
        </w:rPr>
        <w:t xml:space="preserve">: </w:t>
      </w:r>
      <w:r w:rsidRPr="00E87CD9">
        <w:rPr>
          <w:color w:val="auto"/>
          <w:sz w:val="28"/>
          <w:szCs w:val="28"/>
        </w:rPr>
        <w:t>стрілка – місце переривання суцільності суглобового хряща; зірочка – склероз субхондральної кістки.</w:t>
      </w:r>
    </w:p>
    <w:p w:rsidR="00417DC7" w:rsidRPr="00E87CD9" w:rsidRDefault="00417DC7" w:rsidP="00417DC7">
      <w:pPr>
        <w:ind w:firstLine="709"/>
        <w:jc w:val="both"/>
        <w:rPr>
          <w:bCs/>
          <w:color w:val="auto"/>
          <w:sz w:val="28"/>
          <w:szCs w:val="28"/>
        </w:rPr>
      </w:pPr>
      <w:r w:rsidRPr="00E87CD9">
        <w:rPr>
          <w:color w:val="auto"/>
          <w:sz w:val="28"/>
          <w:szCs w:val="28"/>
        </w:rPr>
        <w:t xml:space="preserve">2 - </w:t>
      </w:r>
      <w:r w:rsidRPr="00E87CD9">
        <w:rPr>
          <w:bCs/>
          <w:color w:val="auto"/>
          <w:sz w:val="28"/>
          <w:szCs w:val="28"/>
        </w:rPr>
        <w:t>структура при ОА та ГІТ</w:t>
      </w:r>
      <w:r w:rsidRPr="00E87CD9">
        <w:rPr>
          <w:color w:val="auto"/>
          <w:sz w:val="28"/>
          <w:szCs w:val="28"/>
        </w:rPr>
        <w:t>. Позначення</w:t>
      </w:r>
      <w:r w:rsidRPr="00E87CD9">
        <w:rPr>
          <w:bCs/>
          <w:color w:val="auto"/>
          <w:sz w:val="28"/>
          <w:szCs w:val="28"/>
          <w:lang w:eastAsia="ru-RU"/>
        </w:rPr>
        <w:t xml:space="preserve">: </w:t>
      </w:r>
      <w:r w:rsidRPr="00E87CD9">
        <w:rPr>
          <w:bCs/>
          <w:color w:val="auto"/>
          <w:sz w:val="28"/>
          <w:szCs w:val="28"/>
        </w:rPr>
        <w:t>двобічна стрілка - стоншений суглобовий хрящ; стрілка - тріщини хряща; голівка стрілки - дистрофічно змінені хондроцити; К – кісткова трабекула, М - кістковий мозок.</w:t>
      </w:r>
    </w:p>
    <w:p w:rsidR="00417DC7" w:rsidRPr="00E87CD9" w:rsidRDefault="00417DC7" w:rsidP="00417DC7">
      <w:pPr>
        <w:ind w:firstLine="709"/>
        <w:jc w:val="both"/>
        <w:rPr>
          <w:color w:val="auto"/>
          <w:sz w:val="28"/>
          <w:szCs w:val="28"/>
        </w:rPr>
      </w:pPr>
      <w:r w:rsidRPr="00E87CD9">
        <w:rPr>
          <w:color w:val="auto"/>
          <w:sz w:val="28"/>
          <w:szCs w:val="28"/>
        </w:rPr>
        <w:t>Забарвлення гематоксиліном та еозином. Зб.×100.</w:t>
      </w:r>
    </w:p>
    <w:p w:rsidR="00417DC7" w:rsidRPr="00E87CD9" w:rsidRDefault="00417DC7" w:rsidP="00417DC7">
      <w:pPr>
        <w:ind w:firstLine="709"/>
        <w:jc w:val="both"/>
        <w:rPr>
          <w:color w:val="auto"/>
          <w:sz w:val="28"/>
          <w:szCs w:val="28"/>
        </w:rPr>
      </w:pPr>
    </w:p>
    <w:p w:rsidR="00417DC7" w:rsidRPr="00E87CD9" w:rsidRDefault="00417DC7" w:rsidP="00417DC7">
      <w:pPr>
        <w:ind w:firstLine="709"/>
        <w:jc w:val="both"/>
        <w:rPr>
          <w:color w:val="auto"/>
          <w:sz w:val="28"/>
          <w:szCs w:val="28"/>
          <w:lang w:eastAsia="ru-RU"/>
        </w:rPr>
      </w:pPr>
      <w:r w:rsidRPr="00E87CD9">
        <w:rPr>
          <w:color w:val="auto"/>
          <w:sz w:val="28"/>
          <w:szCs w:val="28"/>
        </w:rPr>
        <w:t>При аналізі результатів встановлено, що г</w:t>
      </w:r>
      <w:r w:rsidRPr="00E87CD9">
        <w:rPr>
          <w:color w:val="auto"/>
          <w:sz w:val="28"/>
          <w:szCs w:val="28"/>
          <w:lang w:eastAsia="ru-RU"/>
        </w:rPr>
        <w:t>істоархітектура суглобів щурів контрольної групи була типовою та відповідала сучасним уявленням про будову синовіальних суглобів. Гістологічний аналіз складових колінного суглобу щурів з експериментальним ОА та ГІТвиявив значні дегенеративні зміни гіалінового хряща та субхондральної кістки з елементами реактивного запалення, гіпертрофії та гіперплазії у складі синовіальної оболонки. З боку суглобового хряща спостерігалось його виразне стоншення та деформація у порівнянні з контрольною групою. Поверхня хряща була нерівною та нерідко дотикалась до тканинного детриту, візуалізувались множинні тріщини (фібриляції) та великі осередки ерозій, аж до зони кальцифікованого хрящу. Окрім того відзначалась значна редукція хондроцитів поверхневої, транзиторної та радіальної зон хрящ</w:t>
      </w:r>
      <w:r w:rsidR="008B7F0B" w:rsidRPr="00E87CD9">
        <w:rPr>
          <w:color w:val="auto"/>
          <w:sz w:val="28"/>
          <w:szCs w:val="28"/>
          <w:lang w:eastAsia="ru-RU"/>
        </w:rPr>
        <w:t>а</w:t>
      </w:r>
      <w:r w:rsidRPr="00E87CD9">
        <w:rPr>
          <w:color w:val="auto"/>
          <w:sz w:val="28"/>
          <w:szCs w:val="28"/>
          <w:lang w:eastAsia="ru-RU"/>
        </w:rPr>
        <w:t xml:space="preserve"> (рис. </w:t>
      </w:r>
      <w:r w:rsidR="00E03641" w:rsidRPr="00E87CD9">
        <w:rPr>
          <w:color w:val="auto"/>
          <w:sz w:val="28"/>
          <w:szCs w:val="28"/>
          <w:lang w:eastAsia="ru-RU"/>
        </w:rPr>
        <w:t>5</w:t>
      </w:r>
      <w:r w:rsidRPr="00E87CD9">
        <w:rPr>
          <w:color w:val="auto"/>
          <w:sz w:val="28"/>
          <w:szCs w:val="28"/>
          <w:lang w:eastAsia="ru-RU"/>
        </w:rPr>
        <w:t>.2).</w:t>
      </w:r>
    </w:p>
    <w:p w:rsidR="00417DC7" w:rsidRPr="00E87CD9" w:rsidRDefault="00417DC7" w:rsidP="00417DC7">
      <w:pPr>
        <w:ind w:firstLine="709"/>
        <w:jc w:val="both"/>
        <w:rPr>
          <w:color w:val="auto"/>
          <w:kern w:val="2"/>
          <w:sz w:val="28"/>
          <w:szCs w:val="28"/>
          <w:lang w:eastAsia="uk-UA" w:bidi="hi-IN"/>
        </w:rPr>
      </w:pPr>
      <w:r w:rsidRPr="00E87CD9">
        <w:rPr>
          <w:color w:val="auto"/>
          <w:sz w:val="28"/>
          <w:szCs w:val="28"/>
          <w:lang w:eastAsia="ru-RU"/>
        </w:rPr>
        <w:t xml:space="preserve">Водночас, на краю суглоба (поблизу синовіальної оболонки) в певних зразках групи дослідження відзначалось збереження товщини гіалінового хряща, що мало ознаки метахромазії та у товщі якого візуалізувались хондроцити. Проте загальна гістоархітектура цієї ділянки хряща мала ознаки дезорганізації. Окрім того місцями відзначалося зникнення лінії розмежування звапнованого та незвапнованого хряща (рис. </w:t>
      </w:r>
      <w:r w:rsidR="00E03641" w:rsidRPr="00E87CD9">
        <w:rPr>
          <w:color w:val="auto"/>
          <w:sz w:val="28"/>
          <w:szCs w:val="28"/>
          <w:lang w:eastAsia="ru-RU"/>
        </w:rPr>
        <w:t>5</w:t>
      </w:r>
      <w:r w:rsidRPr="00E87CD9">
        <w:rPr>
          <w:color w:val="auto"/>
          <w:sz w:val="28"/>
          <w:szCs w:val="28"/>
          <w:lang w:eastAsia="ru-RU"/>
        </w:rPr>
        <w:t>.2).</w:t>
      </w:r>
    </w:p>
    <w:p w:rsidR="00417DC7" w:rsidRPr="00E87CD9" w:rsidRDefault="00417DC7" w:rsidP="00417DC7">
      <w:pPr>
        <w:ind w:firstLine="709"/>
        <w:jc w:val="both"/>
        <w:rPr>
          <w:color w:val="auto"/>
          <w:sz w:val="28"/>
          <w:szCs w:val="28"/>
          <w:lang w:eastAsia="ru-RU"/>
        </w:rPr>
      </w:pPr>
      <w:r w:rsidRPr="00E87CD9">
        <w:rPr>
          <w:color w:val="auto"/>
          <w:sz w:val="28"/>
          <w:szCs w:val="28"/>
          <w:lang w:eastAsia="ru-RU"/>
        </w:rPr>
        <w:t xml:space="preserve">На підставі проведеного дослідження встановлено, що при ОА та ГІТ екстрацелюлярний матрикс хряща мав ознаки мукоїдного набухання та фіброзу, визначався виразний субхондральний склероз, крововиливи, зменшення обсягу кісткового мозку, осередки некрозу та інкапсуляція тканинного детриту (рис. </w:t>
      </w:r>
      <w:r w:rsidR="00E03641" w:rsidRPr="00E87CD9">
        <w:rPr>
          <w:color w:val="auto"/>
          <w:sz w:val="28"/>
          <w:szCs w:val="28"/>
          <w:lang w:eastAsia="ru-RU"/>
        </w:rPr>
        <w:t>5</w:t>
      </w:r>
      <w:r w:rsidRPr="00E87CD9">
        <w:rPr>
          <w:color w:val="auto"/>
          <w:sz w:val="28"/>
          <w:szCs w:val="28"/>
          <w:lang w:eastAsia="ru-RU"/>
        </w:rPr>
        <w:t>.2).</w:t>
      </w:r>
    </w:p>
    <w:p w:rsidR="00417DC7" w:rsidRPr="00E87CD9" w:rsidRDefault="00417DC7" w:rsidP="00417DC7">
      <w:pPr>
        <w:ind w:firstLine="709"/>
        <w:jc w:val="both"/>
        <w:rPr>
          <w:color w:val="auto"/>
          <w:sz w:val="28"/>
          <w:szCs w:val="28"/>
        </w:rPr>
      </w:pPr>
      <w:r w:rsidRPr="00E87CD9">
        <w:rPr>
          <w:bCs/>
          <w:color w:val="auto"/>
          <w:sz w:val="28"/>
          <w:szCs w:val="28"/>
          <w:lang w:eastAsia="ru-RU"/>
        </w:rPr>
        <w:lastRenderedPageBreak/>
        <w:t>Таким чином, порівняльний морфологічний аналіз дистального епіфізу стегнової кістки щурів групи контролю та тварин зі змодельованими патологічними станами ОА та ГІТ виявив виразні реактивні зміни з боку синовіальної оболонки, суттєве стоншення суглобового хряща та редукцію числа хондроцитів у його складі, а також значний субхондральний склероз.</w:t>
      </w:r>
    </w:p>
    <w:p w:rsidR="00417DC7" w:rsidRPr="00E87CD9" w:rsidRDefault="00417DC7" w:rsidP="00E03641">
      <w:pPr>
        <w:spacing w:before="120"/>
        <w:ind w:firstLine="709"/>
        <w:jc w:val="both"/>
        <w:rPr>
          <w:i/>
          <w:color w:val="auto"/>
          <w:kern w:val="2"/>
          <w:sz w:val="28"/>
          <w:szCs w:val="28"/>
          <w:lang w:eastAsia="uk-UA" w:bidi="hi-IN"/>
        </w:rPr>
      </w:pPr>
      <w:r w:rsidRPr="00E87CD9">
        <w:rPr>
          <w:i/>
          <w:color w:val="auto"/>
          <w:kern w:val="2"/>
          <w:sz w:val="28"/>
          <w:szCs w:val="28"/>
          <w:lang w:eastAsia="uk-UA" w:bidi="hi-IN"/>
        </w:rPr>
        <w:t>В</w:t>
      </w:r>
      <w:r w:rsidRPr="00E87CD9">
        <w:rPr>
          <w:bCs/>
          <w:i/>
          <w:color w:val="auto"/>
          <w:sz w:val="28"/>
          <w:szCs w:val="28"/>
        </w:rPr>
        <w:t>плив призначення L-тироксину на стан хрящової та кісткової тканини за умов експериментального ОА та ГІТ.</w:t>
      </w:r>
    </w:p>
    <w:p w:rsidR="00417DC7" w:rsidRPr="00E87CD9" w:rsidRDefault="00417DC7" w:rsidP="00417DC7">
      <w:pPr>
        <w:ind w:firstLine="709"/>
        <w:jc w:val="both"/>
        <w:rPr>
          <w:color w:val="auto"/>
          <w:sz w:val="28"/>
          <w:szCs w:val="28"/>
          <w:lang w:eastAsia="ru-RU"/>
        </w:rPr>
      </w:pPr>
      <w:r w:rsidRPr="00E87CD9">
        <w:rPr>
          <w:color w:val="auto"/>
          <w:kern w:val="2"/>
          <w:sz w:val="28"/>
          <w:szCs w:val="28"/>
          <w:lang w:eastAsia="uk-UA" w:bidi="hi-IN"/>
        </w:rPr>
        <w:t>Аналіз встановив, що н</w:t>
      </w:r>
      <w:r w:rsidRPr="00E87CD9">
        <w:rPr>
          <w:color w:val="auto"/>
          <w:sz w:val="28"/>
          <w:szCs w:val="28"/>
          <w:lang w:eastAsia="ru-RU"/>
        </w:rPr>
        <w:t xml:space="preserve">а тлі фармакологічної корекції ОА та </w:t>
      </w:r>
      <w:r w:rsidR="00E03641" w:rsidRPr="00E87CD9">
        <w:rPr>
          <w:color w:val="auto"/>
          <w:sz w:val="28"/>
          <w:szCs w:val="28"/>
          <w:lang w:eastAsia="ru-RU"/>
        </w:rPr>
        <w:t>ГІТ</w:t>
      </w:r>
      <w:r w:rsidRPr="00E87CD9">
        <w:rPr>
          <w:color w:val="auto"/>
          <w:sz w:val="28"/>
          <w:szCs w:val="28"/>
          <w:lang w:eastAsia="ru-RU"/>
        </w:rPr>
        <w:t xml:space="preserve"> призначенням </w:t>
      </w:r>
      <w:r w:rsidRPr="00E87CD9">
        <w:rPr>
          <w:color w:val="auto"/>
          <w:sz w:val="28"/>
          <w:szCs w:val="28"/>
        </w:rPr>
        <w:t xml:space="preserve">L-тироксину </w:t>
      </w:r>
      <w:r w:rsidRPr="00E87CD9">
        <w:rPr>
          <w:color w:val="auto"/>
          <w:sz w:val="28"/>
          <w:szCs w:val="28"/>
          <w:lang w:eastAsia="ru-RU"/>
        </w:rPr>
        <w:t>з боку синовіальної оболонки колінного суглобу щурів спостерігалося помірне зменшення лімфо-плазмоцитарної інфільтрації у порівнянні з щурами групи активного контролю (без «лікування</w:t>
      </w:r>
      <w:r w:rsidR="005D3C54" w:rsidRPr="00E87CD9">
        <w:rPr>
          <w:color w:val="auto"/>
          <w:sz w:val="28"/>
          <w:szCs w:val="28"/>
          <w:lang w:eastAsia="ru-RU"/>
        </w:rPr>
        <w:t>»</w:t>
      </w:r>
      <w:r w:rsidRPr="00E87CD9">
        <w:rPr>
          <w:color w:val="auto"/>
          <w:sz w:val="28"/>
          <w:szCs w:val="28"/>
          <w:lang w:eastAsia="ru-RU"/>
        </w:rPr>
        <w:t>), у структурах колінного суглобу щурів зберігалися ознаки гіпертрофії та фіброзу синовіальної оболонки. Синовіоцити були гіперплазовані, а власне синовіум добре васкуляризований. В окремих зразках візуалізувалася к</w:t>
      </w:r>
      <w:r w:rsidR="00BD2CC0" w:rsidRPr="00E87CD9">
        <w:rPr>
          <w:color w:val="auto"/>
          <w:sz w:val="28"/>
          <w:szCs w:val="28"/>
          <w:lang w:eastAsia="ru-RU"/>
        </w:rPr>
        <w:t>і</w:t>
      </w:r>
      <w:r w:rsidRPr="00E87CD9">
        <w:rPr>
          <w:color w:val="auto"/>
          <w:sz w:val="28"/>
          <w:szCs w:val="28"/>
          <w:lang w:eastAsia="ru-RU"/>
        </w:rPr>
        <w:t xml:space="preserve">ста, яка була заповнена муцинозним вмістом. Визначено, що фармакологічна корекція </w:t>
      </w:r>
      <w:r w:rsidRPr="00E87CD9">
        <w:rPr>
          <w:color w:val="auto"/>
          <w:sz w:val="28"/>
          <w:szCs w:val="28"/>
        </w:rPr>
        <w:t xml:space="preserve">L-тироксином </w:t>
      </w:r>
      <w:r w:rsidRPr="00E87CD9">
        <w:rPr>
          <w:color w:val="auto"/>
          <w:sz w:val="28"/>
          <w:szCs w:val="28"/>
          <w:lang w:eastAsia="ru-RU"/>
        </w:rPr>
        <w:t>стимулювала регенераторні можливості гіалінового хрящу епіфізу стегнової кістки, п</w:t>
      </w:r>
      <w:r w:rsidRPr="00E87CD9">
        <w:rPr>
          <w:color w:val="auto"/>
          <w:sz w:val="28"/>
          <w:szCs w:val="28"/>
          <w:lang w:eastAsia="uk-UA"/>
        </w:rPr>
        <w:t>роте виразність гіпертрофії та ступінь васкуляризації синовіальної оболонки залишались значними по відношенню до контрольної групи тварин, що свідчило про збереження дегенеративно-дистрофічних та запальних явищ кістково-хрящової тканини</w:t>
      </w:r>
      <w:r w:rsidRPr="00E87CD9">
        <w:rPr>
          <w:color w:val="auto"/>
          <w:sz w:val="28"/>
          <w:szCs w:val="28"/>
          <w:lang w:eastAsia="ru-RU"/>
        </w:rPr>
        <w:t xml:space="preserve"> (рис. </w:t>
      </w:r>
      <w:r w:rsidR="00E03641" w:rsidRPr="00E87CD9">
        <w:rPr>
          <w:color w:val="auto"/>
          <w:sz w:val="28"/>
          <w:szCs w:val="28"/>
          <w:lang w:eastAsia="ru-RU"/>
        </w:rPr>
        <w:t>6</w:t>
      </w:r>
      <w:r w:rsidRPr="00E87CD9">
        <w:rPr>
          <w:color w:val="auto"/>
          <w:sz w:val="28"/>
          <w:szCs w:val="28"/>
          <w:lang w:eastAsia="ru-RU"/>
        </w:rPr>
        <w:t>.1).</w:t>
      </w:r>
    </w:p>
    <w:p w:rsidR="009F177E" w:rsidRPr="00E87CD9" w:rsidRDefault="009F177E" w:rsidP="00417DC7">
      <w:pPr>
        <w:ind w:firstLine="709"/>
        <w:jc w:val="both"/>
        <w:rPr>
          <w:color w:val="auto"/>
          <w:sz w:val="28"/>
          <w:szCs w:val="28"/>
          <w:lang w:eastAsia="ru-RU"/>
        </w:rPr>
      </w:pPr>
    </w:p>
    <w:p w:rsidR="00417DC7" w:rsidRPr="00E87CD9" w:rsidRDefault="00417DC7" w:rsidP="00010FEC">
      <w:pPr>
        <w:jc w:val="center"/>
        <w:rPr>
          <w:color w:val="auto"/>
          <w:sz w:val="28"/>
          <w:szCs w:val="28"/>
          <w:lang w:eastAsia="ru-RU"/>
        </w:rPr>
      </w:pPr>
      <w:r w:rsidRPr="00E87CD9">
        <w:rPr>
          <w:noProof/>
          <w:color w:val="auto"/>
          <w:sz w:val="28"/>
          <w:szCs w:val="28"/>
          <w:lang w:val="ru-RU" w:eastAsia="ru-RU"/>
        </w:rPr>
        <w:drawing>
          <wp:inline distT="0" distB="0" distL="0" distR="0">
            <wp:extent cx="3070800" cy="229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70800" cy="2293200"/>
                    </a:xfrm>
                    <a:prstGeom prst="rect">
                      <a:avLst/>
                    </a:prstGeom>
                    <a:noFill/>
                    <a:ln>
                      <a:noFill/>
                    </a:ln>
                  </pic:spPr>
                </pic:pic>
              </a:graphicData>
            </a:graphic>
          </wp:inline>
        </w:drawing>
      </w:r>
      <w:r w:rsidRPr="00E87CD9">
        <w:rPr>
          <w:noProof/>
          <w:color w:val="auto"/>
          <w:sz w:val="28"/>
          <w:szCs w:val="28"/>
          <w:lang w:val="ru-RU" w:eastAsia="ru-RU"/>
        </w:rPr>
        <w:drawing>
          <wp:inline distT="0" distB="0" distL="0" distR="0">
            <wp:extent cx="3037179" cy="228580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47518" cy="2293587"/>
                    </a:xfrm>
                    <a:prstGeom prst="rect">
                      <a:avLst/>
                    </a:prstGeom>
                    <a:noFill/>
                    <a:ln>
                      <a:noFill/>
                    </a:ln>
                  </pic:spPr>
                </pic:pic>
              </a:graphicData>
            </a:graphic>
          </wp:inline>
        </w:drawing>
      </w:r>
    </w:p>
    <w:p w:rsidR="004A6239" w:rsidRPr="00E87CD9" w:rsidRDefault="004A6239" w:rsidP="00417DC7">
      <w:pPr>
        <w:ind w:firstLine="709"/>
        <w:jc w:val="both"/>
        <w:rPr>
          <w:bCs/>
          <w:color w:val="auto"/>
          <w:sz w:val="28"/>
          <w:szCs w:val="28"/>
          <w:lang w:eastAsia="ru-RU"/>
        </w:rPr>
      </w:pPr>
    </w:p>
    <w:p w:rsidR="00417DC7" w:rsidRPr="00E87CD9" w:rsidRDefault="00417DC7" w:rsidP="00E03641">
      <w:pPr>
        <w:ind w:firstLine="709"/>
        <w:jc w:val="both"/>
        <w:rPr>
          <w:color w:val="auto"/>
          <w:sz w:val="28"/>
          <w:szCs w:val="28"/>
          <w:lang w:eastAsia="ru-RU"/>
        </w:rPr>
      </w:pPr>
      <w:r w:rsidRPr="00E87CD9">
        <w:rPr>
          <w:bCs/>
          <w:color w:val="auto"/>
          <w:sz w:val="28"/>
          <w:szCs w:val="28"/>
          <w:lang w:eastAsia="ru-RU"/>
        </w:rPr>
        <w:t xml:space="preserve">Рис. </w:t>
      </w:r>
      <w:r w:rsidR="00E03641" w:rsidRPr="00E87CD9">
        <w:rPr>
          <w:bCs/>
          <w:color w:val="auto"/>
          <w:sz w:val="28"/>
          <w:szCs w:val="28"/>
          <w:lang w:eastAsia="ru-RU"/>
        </w:rPr>
        <w:t>6</w:t>
      </w:r>
      <w:r w:rsidRPr="00E87CD9">
        <w:rPr>
          <w:bCs/>
          <w:color w:val="auto"/>
          <w:sz w:val="28"/>
          <w:szCs w:val="28"/>
          <w:lang w:eastAsia="ru-RU"/>
        </w:rPr>
        <w:t>.</w:t>
      </w:r>
      <w:r w:rsidRPr="00E87CD9">
        <w:rPr>
          <w:color w:val="auto"/>
          <w:sz w:val="28"/>
          <w:szCs w:val="28"/>
        </w:rPr>
        <w:t>Електронограма г</w:t>
      </w:r>
      <w:r w:rsidRPr="00E87CD9">
        <w:rPr>
          <w:rFonts w:eastAsia="Calibri"/>
          <w:color w:val="auto"/>
          <w:sz w:val="28"/>
          <w:szCs w:val="28"/>
        </w:rPr>
        <w:t>іалінового хряща д</w:t>
      </w:r>
      <w:r w:rsidRPr="00E87CD9">
        <w:rPr>
          <w:color w:val="auto"/>
          <w:sz w:val="28"/>
          <w:szCs w:val="28"/>
          <w:lang w:eastAsia="ru-RU"/>
        </w:rPr>
        <w:t>истального епіфізу стегнової кістки щура на тлі введення ЛЗ.</w:t>
      </w:r>
    </w:p>
    <w:p w:rsidR="00417DC7" w:rsidRPr="00E87CD9" w:rsidRDefault="00417DC7" w:rsidP="00E03641">
      <w:pPr>
        <w:ind w:firstLine="709"/>
        <w:jc w:val="both"/>
        <w:rPr>
          <w:color w:val="auto"/>
          <w:sz w:val="28"/>
          <w:szCs w:val="28"/>
          <w:lang w:eastAsia="ru-RU"/>
        </w:rPr>
      </w:pPr>
      <w:r w:rsidRPr="00E87CD9">
        <w:rPr>
          <w:bCs/>
          <w:color w:val="auto"/>
          <w:sz w:val="28"/>
          <w:szCs w:val="28"/>
          <w:lang w:eastAsia="ru-RU"/>
        </w:rPr>
        <w:t xml:space="preserve">1 - структура при введенні </w:t>
      </w:r>
      <w:r w:rsidRPr="00E87CD9">
        <w:rPr>
          <w:color w:val="auto"/>
          <w:sz w:val="28"/>
          <w:szCs w:val="28"/>
        </w:rPr>
        <w:t>L-тироксину. Позначення</w:t>
      </w:r>
      <w:r w:rsidRPr="00E87CD9">
        <w:rPr>
          <w:bCs/>
          <w:color w:val="auto"/>
          <w:sz w:val="28"/>
          <w:szCs w:val="28"/>
          <w:lang w:eastAsia="ru-RU"/>
        </w:rPr>
        <w:t xml:space="preserve">: </w:t>
      </w:r>
      <w:r w:rsidRPr="00E87CD9">
        <w:rPr>
          <w:color w:val="auto"/>
          <w:sz w:val="28"/>
          <w:szCs w:val="28"/>
          <w:lang w:eastAsia="ru-RU"/>
        </w:rPr>
        <w:t>стрілка – новоутворений хрящ; голівка стрілки – дегенеративно змінений хрящ; зірочка – некротизована кісткова трабекула; К – кісткова трабекула, С – субхо</w:t>
      </w:r>
      <w:r w:rsidR="00BD2CC0" w:rsidRPr="00E87CD9">
        <w:rPr>
          <w:color w:val="auto"/>
          <w:sz w:val="28"/>
          <w:szCs w:val="28"/>
          <w:lang w:eastAsia="ru-RU"/>
        </w:rPr>
        <w:t>н</w:t>
      </w:r>
      <w:r w:rsidRPr="00E87CD9">
        <w:rPr>
          <w:color w:val="auto"/>
          <w:sz w:val="28"/>
          <w:szCs w:val="28"/>
          <w:lang w:eastAsia="ru-RU"/>
        </w:rPr>
        <w:t>дральний склероз.</w:t>
      </w:r>
    </w:p>
    <w:p w:rsidR="00417DC7" w:rsidRPr="00E87CD9" w:rsidRDefault="00417DC7" w:rsidP="00E03641">
      <w:pPr>
        <w:ind w:firstLine="709"/>
        <w:jc w:val="both"/>
        <w:rPr>
          <w:color w:val="auto"/>
          <w:sz w:val="28"/>
          <w:szCs w:val="28"/>
          <w:lang w:eastAsia="ru-RU"/>
        </w:rPr>
      </w:pPr>
      <w:r w:rsidRPr="00E87CD9">
        <w:rPr>
          <w:color w:val="auto"/>
          <w:sz w:val="28"/>
          <w:szCs w:val="28"/>
          <w:lang w:eastAsia="ru-RU"/>
        </w:rPr>
        <w:t xml:space="preserve">2 - </w:t>
      </w:r>
      <w:r w:rsidRPr="00E87CD9">
        <w:rPr>
          <w:bCs/>
          <w:color w:val="auto"/>
          <w:sz w:val="28"/>
          <w:szCs w:val="28"/>
        </w:rPr>
        <w:t xml:space="preserve">структура </w:t>
      </w:r>
      <w:r w:rsidRPr="00E87CD9">
        <w:rPr>
          <w:bCs/>
          <w:color w:val="auto"/>
          <w:sz w:val="28"/>
          <w:szCs w:val="28"/>
          <w:lang w:eastAsia="ru-RU"/>
        </w:rPr>
        <w:t xml:space="preserve">при введенні </w:t>
      </w:r>
      <w:r w:rsidRPr="00E87CD9">
        <w:rPr>
          <w:bCs/>
          <w:color w:val="auto"/>
          <w:sz w:val="28"/>
          <w:szCs w:val="28"/>
        </w:rPr>
        <w:t>диклофенаку натрію, хондроїтину сульфату</w:t>
      </w:r>
      <w:r w:rsidRPr="00E87CD9">
        <w:rPr>
          <w:color w:val="auto"/>
          <w:sz w:val="28"/>
          <w:szCs w:val="28"/>
        </w:rPr>
        <w:t xml:space="preserve"> та L-тироксину. Позначення</w:t>
      </w:r>
      <w:r w:rsidRPr="00E87CD9">
        <w:rPr>
          <w:bCs/>
          <w:color w:val="auto"/>
          <w:sz w:val="28"/>
          <w:szCs w:val="28"/>
          <w:lang w:eastAsia="ru-RU"/>
        </w:rPr>
        <w:t xml:space="preserve">: </w:t>
      </w:r>
      <w:r w:rsidRPr="00E87CD9">
        <w:rPr>
          <w:color w:val="auto"/>
          <w:sz w:val="28"/>
          <w:szCs w:val="28"/>
          <w:lang w:eastAsia="ru-RU"/>
        </w:rPr>
        <w:t>двобічна стрілка – новоутворений хрящ; голівка стрілки – кровоносні судини; К – кісткова трабекула, С – субхондральний склероз.</w:t>
      </w:r>
    </w:p>
    <w:p w:rsidR="00417DC7" w:rsidRPr="00E87CD9" w:rsidRDefault="00417DC7" w:rsidP="00E03641">
      <w:pPr>
        <w:ind w:firstLine="709"/>
        <w:jc w:val="both"/>
        <w:rPr>
          <w:color w:val="auto"/>
          <w:sz w:val="28"/>
          <w:szCs w:val="28"/>
          <w:lang w:eastAsia="ru-RU"/>
        </w:rPr>
      </w:pPr>
      <w:r w:rsidRPr="00E87CD9">
        <w:rPr>
          <w:color w:val="auto"/>
          <w:sz w:val="28"/>
          <w:szCs w:val="28"/>
          <w:lang w:eastAsia="ru-RU"/>
        </w:rPr>
        <w:t>Забарвлення гематоксиліном-еозином. Зб.×100.</w:t>
      </w:r>
    </w:p>
    <w:p w:rsidR="00417DC7" w:rsidRPr="00E87CD9" w:rsidRDefault="00417DC7" w:rsidP="00417DC7">
      <w:pPr>
        <w:shd w:val="clear" w:color="auto" w:fill="FFFFFF"/>
        <w:ind w:firstLine="709"/>
        <w:jc w:val="both"/>
        <w:rPr>
          <w:color w:val="auto"/>
          <w:sz w:val="28"/>
          <w:szCs w:val="28"/>
        </w:rPr>
      </w:pPr>
      <w:r w:rsidRPr="00E87CD9">
        <w:rPr>
          <w:color w:val="auto"/>
          <w:sz w:val="28"/>
          <w:szCs w:val="28"/>
          <w:lang w:eastAsia="uk-UA"/>
        </w:rPr>
        <w:lastRenderedPageBreak/>
        <w:t>П</w:t>
      </w:r>
      <w:r w:rsidRPr="00E87CD9">
        <w:rPr>
          <w:bCs/>
          <w:color w:val="auto"/>
          <w:sz w:val="28"/>
          <w:szCs w:val="28"/>
        </w:rPr>
        <w:t xml:space="preserve">роведене дослідження дозволило встановити, що </w:t>
      </w:r>
      <w:r w:rsidRPr="00E87CD9">
        <w:rPr>
          <w:color w:val="auto"/>
          <w:sz w:val="28"/>
          <w:szCs w:val="28"/>
          <w:lang w:eastAsia="uk-UA"/>
        </w:rPr>
        <w:t xml:space="preserve">при порівнянні результатів групи тварин, що отримували </w:t>
      </w:r>
      <w:r w:rsidRPr="00E87CD9">
        <w:rPr>
          <w:color w:val="auto"/>
          <w:sz w:val="28"/>
          <w:szCs w:val="28"/>
        </w:rPr>
        <w:t>L-тироксин</w:t>
      </w:r>
      <w:r w:rsidR="00E03641" w:rsidRPr="00E87CD9">
        <w:rPr>
          <w:color w:val="auto"/>
          <w:sz w:val="28"/>
          <w:szCs w:val="28"/>
        </w:rPr>
        <w:t>,</w:t>
      </w:r>
      <w:r w:rsidRPr="00E87CD9">
        <w:rPr>
          <w:color w:val="auto"/>
          <w:sz w:val="28"/>
          <w:szCs w:val="28"/>
          <w:lang w:eastAsia="uk-UA"/>
        </w:rPr>
        <w:t xml:space="preserve"> з групою, що не отримували лікування, відзначалося помірне зменшення запальної реакції та явищ гіпертрофії з боку синовіальної оболонки, регенерація суглобового хряща та кісткової тканини трабекул епіфізу. Морфологічні зміни дистального епіфізу стегнової кістки щурів при порівнянні з контрольною групою свідчили про збереження значної гіпертрофії та гіперплазії синовіальної оболонки з ознаками запалення, неповну регенерацію суглобового хряща та його недостатнє дозрівання у ділянках, товщина яких була наближеною до контролю, а також про виразний субхондральний склероз епіфізу, що свідчило про недостатність та неадекватність призначення тільки </w:t>
      </w:r>
      <w:r w:rsidRPr="00E87CD9">
        <w:rPr>
          <w:color w:val="auto"/>
          <w:sz w:val="28"/>
          <w:szCs w:val="28"/>
        </w:rPr>
        <w:t>L-тироксину при коморбідній патології</w:t>
      </w:r>
      <w:r w:rsidRPr="00E87CD9">
        <w:rPr>
          <w:color w:val="auto"/>
          <w:sz w:val="28"/>
          <w:szCs w:val="28"/>
          <w:lang w:eastAsia="uk-UA"/>
        </w:rPr>
        <w:t>.</w:t>
      </w:r>
    </w:p>
    <w:p w:rsidR="00417DC7" w:rsidRPr="00E87CD9" w:rsidRDefault="00417DC7" w:rsidP="00417DC7">
      <w:pPr>
        <w:ind w:firstLine="709"/>
        <w:jc w:val="both"/>
        <w:rPr>
          <w:color w:val="auto"/>
          <w:sz w:val="28"/>
          <w:szCs w:val="28"/>
        </w:rPr>
      </w:pPr>
      <w:r w:rsidRPr="00E87CD9">
        <w:rPr>
          <w:bCs/>
          <w:color w:val="auto"/>
          <w:sz w:val="28"/>
          <w:szCs w:val="28"/>
        </w:rPr>
        <w:t>Тому у дослідженні були визначені гістоморфологічні зміни хрящової тканини при призначен</w:t>
      </w:r>
      <w:r w:rsidR="00C12448" w:rsidRPr="00E87CD9">
        <w:rPr>
          <w:bCs/>
          <w:color w:val="auto"/>
          <w:sz w:val="28"/>
          <w:szCs w:val="28"/>
        </w:rPr>
        <w:t>н</w:t>
      </w:r>
      <w:r w:rsidRPr="00E87CD9">
        <w:rPr>
          <w:bCs/>
          <w:color w:val="auto"/>
          <w:sz w:val="28"/>
          <w:szCs w:val="28"/>
        </w:rPr>
        <w:t xml:space="preserve">і диклофенаку натрію та </w:t>
      </w:r>
      <w:r w:rsidR="00275EE4" w:rsidRPr="00E87CD9">
        <w:rPr>
          <w:bCs/>
          <w:color w:val="auto"/>
          <w:sz w:val="28"/>
          <w:szCs w:val="28"/>
        </w:rPr>
        <w:t>ХС</w:t>
      </w:r>
      <w:r w:rsidRPr="00E87CD9">
        <w:rPr>
          <w:bCs/>
          <w:color w:val="auto"/>
          <w:sz w:val="28"/>
          <w:szCs w:val="28"/>
        </w:rPr>
        <w:t xml:space="preserve"> на фоні замісної гормональної терапії L-тироксином при експериментальних патологіях.</w:t>
      </w:r>
    </w:p>
    <w:p w:rsidR="00417DC7" w:rsidRPr="00E87CD9" w:rsidRDefault="00417DC7" w:rsidP="00417DC7">
      <w:pPr>
        <w:ind w:firstLine="709"/>
        <w:jc w:val="both"/>
        <w:rPr>
          <w:color w:val="auto"/>
          <w:sz w:val="28"/>
          <w:szCs w:val="28"/>
        </w:rPr>
      </w:pPr>
      <w:r w:rsidRPr="00E87CD9">
        <w:rPr>
          <w:color w:val="auto"/>
          <w:sz w:val="28"/>
          <w:szCs w:val="28"/>
        </w:rPr>
        <w:t xml:space="preserve">Аналіз гістологічної структури хрящової тканини колінних суглобів щурів, які отримували </w:t>
      </w:r>
      <w:r w:rsidRPr="00E87CD9">
        <w:rPr>
          <w:bCs/>
          <w:color w:val="auto"/>
          <w:sz w:val="28"/>
          <w:szCs w:val="28"/>
        </w:rPr>
        <w:t xml:space="preserve">диклофенак натрію, </w:t>
      </w:r>
      <w:r w:rsidR="00275EE4" w:rsidRPr="00E87CD9">
        <w:rPr>
          <w:bCs/>
          <w:color w:val="auto"/>
          <w:sz w:val="28"/>
          <w:szCs w:val="28"/>
        </w:rPr>
        <w:t>ХС</w:t>
      </w:r>
      <w:r w:rsidRPr="00E87CD9">
        <w:rPr>
          <w:color w:val="auto"/>
          <w:sz w:val="28"/>
          <w:szCs w:val="28"/>
        </w:rPr>
        <w:t xml:space="preserve"> та L-тироксин показав, що у зразках тканин добре візуалізуються надхрящ</w:t>
      </w:r>
      <w:r w:rsidR="00C12448" w:rsidRPr="00E87CD9">
        <w:rPr>
          <w:color w:val="auto"/>
          <w:sz w:val="28"/>
          <w:szCs w:val="28"/>
        </w:rPr>
        <w:t>і</w:t>
      </w:r>
      <w:r w:rsidRPr="00E87CD9">
        <w:rPr>
          <w:color w:val="auto"/>
          <w:sz w:val="28"/>
          <w:szCs w:val="28"/>
        </w:rPr>
        <w:t>, основна речовина хряща та субхондральна кістка. При призначен</w:t>
      </w:r>
      <w:r w:rsidR="00C12448" w:rsidRPr="00E87CD9">
        <w:rPr>
          <w:color w:val="auto"/>
          <w:sz w:val="28"/>
          <w:szCs w:val="28"/>
        </w:rPr>
        <w:t>н</w:t>
      </w:r>
      <w:r w:rsidRPr="00E87CD9">
        <w:rPr>
          <w:color w:val="auto"/>
          <w:sz w:val="28"/>
          <w:szCs w:val="28"/>
        </w:rPr>
        <w:t xml:space="preserve">і </w:t>
      </w:r>
      <w:r w:rsidRPr="00E87CD9">
        <w:rPr>
          <w:bCs/>
          <w:color w:val="auto"/>
          <w:sz w:val="28"/>
          <w:szCs w:val="28"/>
        </w:rPr>
        <w:t>диклофенаку натрію, хондроїтину сульфату</w:t>
      </w:r>
      <w:r w:rsidRPr="00E87CD9">
        <w:rPr>
          <w:color w:val="auto"/>
          <w:sz w:val="28"/>
          <w:szCs w:val="28"/>
        </w:rPr>
        <w:t xml:space="preserve"> та L-тироксину визначена активна регенерація хрящової і кісткової тканини з ділянками неоваскулогенезу, зменшення ознак реактивного запалення та фіброзу синовіальної оболонки, виражена протяжність та товщина молодого хряща. Хрящова і кісткова тканина колінного суглоба щурів за основними параметрами була практично однакова з інтактними тваринами з тією лише різницею, що мала місце активна регенерація як хрящової, так і кісткової тканини з ділянками неоваскулогенезу </w:t>
      </w:r>
      <w:r w:rsidRPr="00E87CD9">
        <w:rPr>
          <w:color w:val="auto"/>
          <w:sz w:val="28"/>
          <w:szCs w:val="28"/>
          <w:lang w:eastAsia="ru-RU"/>
        </w:rPr>
        <w:t xml:space="preserve">(рис. </w:t>
      </w:r>
      <w:r w:rsidR="00C12448" w:rsidRPr="00E87CD9">
        <w:rPr>
          <w:color w:val="auto"/>
          <w:sz w:val="28"/>
          <w:szCs w:val="28"/>
          <w:lang w:eastAsia="ru-RU"/>
        </w:rPr>
        <w:t>6</w:t>
      </w:r>
      <w:r w:rsidRPr="00E87CD9">
        <w:rPr>
          <w:color w:val="auto"/>
          <w:sz w:val="28"/>
          <w:szCs w:val="28"/>
          <w:lang w:eastAsia="ru-RU"/>
        </w:rPr>
        <w:t>.2)</w:t>
      </w:r>
      <w:r w:rsidRPr="00E87CD9">
        <w:rPr>
          <w:color w:val="auto"/>
          <w:sz w:val="28"/>
          <w:szCs w:val="28"/>
        </w:rPr>
        <w:t>.</w:t>
      </w:r>
    </w:p>
    <w:p w:rsidR="00417DC7" w:rsidRPr="00E87CD9" w:rsidRDefault="00417DC7" w:rsidP="00417DC7">
      <w:pPr>
        <w:pStyle w:val="16"/>
        <w:spacing w:after="0"/>
        <w:ind w:left="0" w:firstLine="709"/>
        <w:jc w:val="both"/>
        <w:rPr>
          <w:rFonts w:ascii="Times New Roman" w:hAnsi="Times New Roman" w:cs="Times New Roman"/>
          <w:sz w:val="28"/>
          <w:szCs w:val="28"/>
        </w:rPr>
      </w:pPr>
      <w:r w:rsidRPr="00E87CD9">
        <w:rPr>
          <w:rFonts w:ascii="Times New Roman" w:hAnsi="Times New Roman" w:cs="Times New Roman"/>
          <w:sz w:val="28"/>
          <w:szCs w:val="28"/>
          <w:lang w:eastAsia="uk-UA"/>
        </w:rPr>
        <w:t xml:space="preserve">Таким чином, на підставі проведених гістоморфологічних досліджень встановлено, що </w:t>
      </w:r>
      <w:r w:rsidRPr="00E87CD9">
        <w:rPr>
          <w:rFonts w:ascii="Times New Roman" w:hAnsi="Times New Roman" w:cs="Times New Roman"/>
          <w:sz w:val="28"/>
          <w:szCs w:val="28"/>
        </w:rPr>
        <w:t xml:space="preserve">комбіноване застосування </w:t>
      </w:r>
      <w:r w:rsidRPr="00E87CD9">
        <w:rPr>
          <w:rFonts w:ascii="Times New Roman" w:eastAsia="Times New Roman" w:hAnsi="Times New Roman" w:cs="Times New Roman"/>
          <w:sz w:val="28"/>
          <w:szCs w:val="28"/>
        </w:rPr>
        <w:t xml:space="preserve">диклофенаку натрію, </w:t>
      </w:r>
      <w:r w:rsidR="00275EE4" w:rsidRPr="00E87CD9">
        <w:rPr>
          <w:rFonts w:ascii="Times New Roman" w:eastAsia="Times New Roman" w:hAnsi="Times New Roman" w:cs="Times New Roman"/>
          <w:sz w:val="28"/>
          <w:szCs w:val="28"/>
        </w:rPr>
        <w:t>ХС</w:t>
      </w:r>
      <w:r w:rsidRPr="00E87CD9">
        <w:rPr>
          <w:rFonts w:ascii="Times New Roman" w:eastAsia="Times New Roman" w:hAnsi="Times New Roman" w:cs="Times New Roman"/>
          <w:sz w:val="28"/>
          <w:szCs w:val="28"/>
        </w:rPr>
        <w:t xml:space="preserve"> та L-тироксину сприяє активній регенерації хрящової і кісткової тканини з ділянками неоваскулогенезу, зменшенню ознак реактивного запалення та фіброзу синовіальної оболонки та формуванню молодого хряща, </w:t>
      </w:r>
      <w:r w:rsidR="00275EE4" w:rsidRPr="00E87CD9">
        <w:rPr>
          <w:rFonts w:ascii="Times New Roman" w:eastAsia="Times New Roman" w:hAnsi="Times New Roman" w:cs="Times New Roman"/>
          <w:sz w:val="28"/>
          <w:szCs w:val="28"/>
        </w:rPr>
        <w:t>і комбіноване</w:t>
      </w:r>
      <w:r w:rsidRPr="00E87CD9">
        <w:rPr>
          <w:rFonts w:ascii="Times New Roman" w:eastAsia="Times New Roman" w:hAnsi="Times New Roman" w:cs="Times New Roman"/>
          <w:sz w:val="28"/>
          <w:szCs w:val="28"/>
        </w:rPr>
        <w:t xml:space="preserve"> застосування </w:t>
      </w:r>
      <w:r w:rsidR="00275EE4" w:rsidRPr="00E87CD9">
        <w:rPr>
          <w:rFonts w:ascii="Times New Roman" w:eastAsia="Times New Roman" w:hAnsi="Times New Roman" w:cs="Times New Roman"/>
          <w:sz w:val="28"/>
          <w:szCs w:val="28"/>
        </w:rPr>
        <w:t xml:space="preserve">цих препаратів </w:t>
      </w:r>
      <w:r w:rsidRPr="00E87CD9">
        <w:rPr>
          <w:rFonts w:ascii="Times New Roman" w:eastAsia="Times New Roman" w:hAnsi="Times New Roman" w:cs="Times New Roman"/>
          <w:sz w:val="28"/>
          <w:szCs w:val="28"/>
        </w:rPr>
        <w:t>можна рекомендувати до клінічно</w:t>
      </w:r>
      <w:r w:rsidR="000E36B4" w:rsidRPr="00E87CD9">
        <w:rPr>
          <w:rFonts w:ascii="Times New Roman" w:eastAsia="Times New Roman" w:hAnsi="Times New Roman" w:cs="Times New Roman"/>
          <w:sz w:val="28"/>
          <w:szCs w:val="28"/>
        </w:rPr>
        <w:t>ї</w:t>
      </w:r>
      <w:r w:rsidR="005E7D93" w:rsidRPr="00E87CD9">
        <w:rPr>
          <w:rFonts w:ascii="Times New Roman" w:eastAsia="Times New Roman" w:hAnsi="Times New Roman" w:cs="Times New Roman"/>
          <w:sz w:val="28"/>
          <w:szCs w:val="28"/>
        </w:rPr>
        <w:t>а</w:t>
      </w:r>
      <w:r w:rsidR="000E36B4" w:rsidRPr="00E87CD9">
        <w:rPr>
          <w:rFonts w:ascii="Times New Roman" w:eastAsia="Times New Roman" w:hAnsi="Times New Roman" w:cs="Times New Roman"/>
          <w:sz w:val="28"/>
          <w:szCs w:val="28"/>
        </w:rPr>
        <w:t>пробації</w:t>
      </w:r>
      <w:r w:rsidRPr="00E87CD9">
        <w:rPr>
          <w:rFonts w:ascii="Times New Roman" w:eastAsia="Times New Roman" w:hAnsi="Times New Roman" w:cs="Times New Roman"/>
          <w:sz w:val="28"/>
          <w:szCs w:val="28"/>
        </w:rPr>
        <w:t xml:space="preserve"> при ОА та ГІТ.</w:t>
      </w:r>
    </w:p>
    <w:p w:rsidR="00417DC7" w:rsidRPr="00E87CD9" w:rsidRDefault="00417DC7" w:rsidP="00417DC7">
      <w:pPr>
        <w:ind w:firstLine="709"/>
        <w:jc w:val="both"/>
        <w:rPr>
          <w:color w:val="auto"/>
          <w:kern w:val="2"/>
          <w:sz w:val="28"/>
          <w:szCs w:val="28"/>
          <w:lang w:eastAsia="uk-UA" w:bidi="hi-IN"/>
        </w:rPr>
      </w:pPr>
    </w:p>
    <w:p w:rsidR="00417DC7" w:rsidRPr="00E87CD9" w:rsidRDefault="00417DC7" w:rsidP="00C12448">
      <w:pPr>
        <w:pStyle w:val="1"/>
        <w:ind w:left="0"/>
        <w:rPr>
          <w:color w:val="auto"/>
        </w:rPr>
      </w:pPr>
      <w:r w:rsidRPr="00E87CD9">
        <w:rPr>
          <w:color w:val="auto"/>
        </w:rPr>
        <w:t>ВИСНОВКИ</w:t>
      </w:r>
    </w:p>
    <w:p w:rsidR="004A6239" w:rsidRPr="00E87CD9" w:rsidRDefault="004A6239" w:rsidP="00417DC7">
      <w:pPr>
        <w:pStyle w:val="1"/>
        <w:ind w:left="0" w:firstLine="709"/>
        <w:rPr>
          <w:color w:val="auto"/>
        </w:rPr>
      </w:pPr>
    </w:p>
    <w:p w:rsidR="00417DC7" w:rsidRPr="00E87CD9" w:rsidRDefault="00417DC7" w:rsidP="00593881">
      <w:pPr>
        <w:ind w:firstLine="709"/>
        <w:jc w:val="both"/>
        <w:rPr>
          <w:color w:val="auto"/>
          <w:sz w:val="28"/>
          <w:szCs w:val="28"/>
        </w:rPr>
      </w:pPr>
      <w:r w:rsidRPr="00E87CD9">
        <w:rPr>
          <w:color w:val="auto"/>
          <w:sz w:val="28"/>
          <w:szCs w:val="28"/>
        </w:rPr>
        <w:t xml:space="preserve">Дисертаційна робота присвячена </w:t>
      </w:r>
      <w:r w:rsidR="00110490" w:rsidRPr="00E87CD9">
        <w:rPr>
          <w:color w:val="auto"/>
          <w:sz w:val="28"/>
          <w:szCs w:val="28"/>
        </w:rPr>
        <w:t xml:space="preserve">вирішенню </w:t>
      </w:r>
      <w:r w:rsidRPr="00E87CD9">
        <w:rPr>
          <w:color w:val="auto"/>
          <w:sz w:val="28"/>
          <w:szCs w:val="28"/>
        </w:rPr>
        <w:t>проблем</w:t>
      </w:r>
      <w:r w:rsidR="00110490" w:rsidRPr="00E87CD9">
        <w:rPr>
          <w:color w:val="auto"/>
          <w:sz w:val="28"/>
          <w:szCs w:val="28"/>
        </w:rPr>
        <w:t>и</w:t>
      </w:r>
      <w:r w:rsidRPr="00E87CD9">
        <w:rPr>
          <w:color w:val="auto"/>
          <w:sz w:val="28"/>
          <w:szCs w:val="28"/>
        </w:rPr>
        <w:t xml:space="preserve"> болетамуючої та хондропротекторної терапії </w:t>
      </w:r>
      <w:r w:rsidR="00110490" w:rsidRPr="00E87CD9">
        <w:rPr>
          <w:color w:val="auto"/>
          <w:sz w:val="28"/>
          <w:szCs w:val="28"/>
        </w:rPr>
        <w:t xml:space="preserve">закомбінованого </w:t>
      </w:r>
      <w:r w:rsidRPr="00E87CD9">
        <w:rPr>
          <w:color w:val="auto"/>
          <w:sz w:val="28"/>
          <w:szCs w:val="28"/>
        </w:rPr>
        <w:t>застосування НПЗЗ, парацетамолу</w:t>
      </w:r>
      <w:r w:rsidR="001B6EBF" w:rsidRPr="00E87CD9">
        <w:rPr>
          <w:color w:val="auto"/>
          <w:sz w:val="28"/>
          <w:szCs w:val="28"/>
        </w:rPr>
        <w:t>,</w:t>
      </w:r>
      <w:r w:rsidRPr="00E87CD9">
        <w:rPr>
          <w:color w:val="auto"/>
          <w:sz w:val="28"/>
          <w:szCs w:val="28"/>
        </w:rPr>
        <w:t xml:space="preserve"> хондроїтину сульфату</w:t>
      </w:r>
      <w:r w:rsidR="001B6EBF" w:rsidRPr="00E87CD9">
        <w:rPr>
          <w:color w:val="auto"/>
          <w:sz w:val="28"/>
          <w:szCs w:val="28"/>
        </w:rPr>
        <w:t xml:space="preserve"> та</w:t>
      </w:r>
      <w:r w:rsidR="001B6EBF" w:rsidRPr="00E87CD9">
        <w:rPr>
          <w:rStyle w:val="Default20Paragraph20Font"/>
          <w:rFonts w:eastAsia="Calibri"/>
          <w:bCs/>
          <w:iCs/>
          <w:color w:val="auto"/>
          <w:sz w:val="28"/>
          <w:szCs w:val="28"/>
        </w:rPr>
        <w:t>L-тироксину</w:t>
      </w:r>
      <w:r w:rsidR="00C500DD" w:rsidRPr="00E87CD9">
        <w:rPr>
          <w:color w:val="auto"/>
          <w:sz w:val="28"/>
          <w:szCs w:val="28"/>
        </w:rPr>
        <w:t>за умов</w:t>
      </w:r>
      <w:r w:rsidRPr="00E87CD9">
        <w:rPr>
          <w:color w:val="auto"/>
          <w:sz w:val="28"/>
          <w:szCs w:val="28"/>
        </w:rPr>
        <w:t xml:space="preserve"> експериментального остеоартрозу </w:t>
      </w:r>
      <w:r w:rsidR="00C500DD" w:rsidRPr="00E87CD9">
        <w:rPr>
          <w:color w:val="auto"/>
          <w:sz w:val="28"/>
          <w:szCs w:val="28"/>
        </w:rPr>
        <w:t>н</w:t>
      </w:r>
      <w:r w:rsidRPr="00E87CD9">
        <w:rPr>
          <w:color w:val="auto"/>
          <w:sz w:val="28"/>
          <w:szCs w:val="28"/>
        </w:rPr>
        <w:t xml:space="preserve">а </w:t>
      </w:r>
      <w:r w:rsidR="00C500DD" w:rsidRPr="00E87CD9">
        <w:rPr>
          <w:color w:val="auto"/>
          <w:sz w:val="28"/>
          <w:szCs w:val="28"/>
        </w:rPr>
        <w:t xml:space="preserve">тлі </w:t>
      </w:r>
      <w:r w:rsidRPr="00E87CD9">
        <w:rPr>
          <w:color w:val="auto"/>
          <w:sz w:val="28"/>
          <w:szCs w:val="28"/>
        </w:rPr>
        <w:t>гіпотиреозу.</w:t>
      </w:r>
    </w:p>
    <w:p w:rsidR="00593881" w:rsidRPr="00E87CD9" w:rsidRDefault="00593881" w:rsidP="00593881">
      <w:pPr>
        <w:ind w:firstLine="709"/>
        <w:jc w:val="both"/>
        <w:rPr>
          <w:rFonts w:eastAsia="Calibri"/>
          <w:iCs/>
          <w:color w:val="auto"/>
          <w:sz w:val="28"/>
          <w:szCs w:val="28"/>
        </w:rPr>
      </w:pPr>
    </w:p>
    <w:p w:rsidR="00593881" w:rsidRDefault="00593881" w:rsidP="00593881">
      <w:pPr>
        <w:ind w:firstLine="709"/>
        <w:jc w:val="both"/>
        <w:rPr>
          <w:rFonts w:eastAsia="Calibri"/>
          <w:iCs/>
          <w:color w:val="auto"/>
          <w:sz w:val="28"/>
          <w:szCs w:val="28"/>
        </w:rPr>
      </w:pPr>
      <w:r w:rsidRPr="00E87CD9">
        <w:rPr>
          <w:rFonts w:eastAsia="Calibri"/>
          <w:iCs/>
          <w:color w:val="auto"/>
          <w:sz w:val="28"/>
          <w:szCs w:val="28"/>
        </w:rPr>
        <w:t>1.Гіпотиреоз призводить до гіп</w:t>
      </w:r>
      <w:r w:rsidR="000B3CCD">
        <w:rPr>
          <w:rFonts w:eastAsia="Calibri"/>
          <w:iCs/>
          <w:color w:val="auto"/>
          <w:sz w:val="28"/>
          <w:szCs w:val="28"/>
        </w:rPr>
        <w:t>о</w:t>
      </w:r>
      <w:r w:rsidRPr="00E87CD9">
        <w:rPr>
          <w:rFonts w:eastAsia="Calibri"/>
          <w:iCs/>
          <w:color w:val="auto"/>
          <w:sz w:val="28"/>
          <w:szCs w:val="28"/>
        </w:rPr>
        <w:t>алгезії на тлі остеоартрозу, про що свідчить зменшення порогу больової чутливості на 17% (р&lt;0,05)за коморбідного стану проти 24%(р&lt;0,0</w:t>
      </w:r>
      <w:r w:rsidR="00AF1827" w:rsidRPr="00E87CD9">
        <w:rPr>
          <w:rFonts w:eastAsia="Calibri"/>
          <w:iCs/>
          <w:color w:val="auto"/>
          <w:sz w:val="28"/>
          <w:szCs w:val="28"/>
        </w:rPr>
        <w:t>5</w:t>
      </w:r>
      <w:r w:rsidRPr="00E87CD9">
        <w:rPr>
          <w:rFonts w:eastAsia="Calibri"/>
          <w:iCs/>
          <w:color w:val="auto"/>
          <w:sz w:val="28"/>
          <w:szCs w:val="28"/>
        </w:rPr>
        <w:t>) за остеоартрозу.</w:t>
      </w:r>
    </w:p>
    <w:p w:rsidR="00A319EC" w:rsidRPr="00E87CD9" w:rsidRDefault="00A319EC" w:rsidP="00593881">
      <w:pPr>
        <w:ind w:firstLine="709"/>
        <w:jc w:val="both"/>
        <w:rPr>
          <w:rFonts w:eastAsia="Calibri"/>
          <w:iCs/>
          <w:color w:val="auto"/>
          <w:sz w:val="28"/>
          <w:szCs w:val="28"/>
        </w:rPr>
      </w:pPr>
    </w:p>
    <w:p w:rsidR="00593881" w:rsidRPr="00E87CD9" w:rsidRDefault="00593881" w:rsidP="00593881">
      <w:pPr>
        <w:ind w:firstLine="709"/>
        <w:jc w:val="both"/>
        <w:rPr>
          <w:rStyle w:val="Default20Paragraph20Font"/>
          <w:bCs/>
          <w:color w:val="auto"/>
          <w:sz w:val="28"/>
          <w:szCs w:val="28"/>
        </w:rPr>
      </w:pPr>
      <w:r w:rsidRPr="00E87CD9">
        <w:rPr>
          <w:rFonts w:eastAsia="Calibri"/>
          <w:iCs/>
          <w:color w:val="auto"/>
          <w:sz w:val="28"/>
          <w:szCs w:val="28"/>
        </w:rPr>
        <w:lastRenderedPageBreak/>
        <w:t xml:space="preserve">2. </w:t>
      </w:r>
      <w:r w:rsidRPr="00E87CD9">
        <w:rPr>
          <w:rStyle w:val="Default20Paragraph20Font"/>
          <w:rFonts w:eastAsia="Calibri"/>
          <w:iCs/>
          <w:color w:val="auto"/>
          <w:sz w:val="28"/>
          <w:szCs w:val="28"/>
        </w:rPr>
        <w:t>Експериментальні патологічні стани – остеоартроз та гіпотиреоз значно змінюють антиноцицептивн</w:t>
      </w:r>
      <w:r w:rsidR="00814CE7" w:rsidRPr="00E87CD9">
        <w:rPr>
          <w:rStyle w:val="Default20Paragraph20Font"/>
          <w:rFonts w:eastAsia="Calibri"/>
          <w:iCs/>
          <w:color w:val="auto"/>
          <w:sz w:val="28"/>
          <w:szCs w:val="28"/>
        </w:rPr>
        <w:t>у активність лікарських засобів</w:t>
      </w:r>
      <w:r w:rsidRPr="00E87CD9">
        <w:rPr>
          <w:rStyle w:val="Default20Paragraph20Font"/>
          <w:rFonts w:eastAsia="Calibri"/>
          <w:iCs/>
          <w:color w:val="auto"/>
          <w:sz w:val="28"/>
          <w:szCs w:val="28"/>
        </w:rPr>
        <w:t>.</w:t>
      </w:r>
      <w:r w:rsidRPr="00E87CD9">
        <w:rPr>
          <w:rFonts w:eastAsia="Calibri"/>
          <w:color w:val="auto"/>
          <w:sz w:val="28"/>
          <w:szCs w:val="28"/>
        </w:rPr>
        <w:t xml:space="preserve"> З</w:t>
      </w:r>
      <w:r w:rsidRPr="00E87CD9">
        <w:rPr>
          <w:rStyle w:val="Default20Paragraph20Font"/>
          <w:rFonts w:eastAsia="Calibri"/>
          <w:color w:val="auto"/>
          <w:sz w:val="28"/>
          <w:szCs w:val="28"/>
        </w:rPr>
        <w:t>а</w:t>
      </w:r>
      <w:r w:rsidRPr="00E87CD9">
        <w:rPr>
          <w:rStyle w:val="Default20Paragraph20Font"/>
          <w:rFonts w:eastAsia="Calibri"/>
          <w:bCs/>
          <w:iCs/>
          <w:color w:val="auto"/>
          <w:sz w:val="28"/>
          <w:szCs w:val="28"/>
        </w:rPr>
        <w:t xml:space="preserve"> умов остеоартрозу та гіпотиреозу на фоні замісної гормональної терапії L-тироксином</w:t>
      </w:r>
      <w:r w:rsidRPr="00E87CD9">
        <w:rPr>
          <w:rStyle w:val="Default20Paragraph20Font"/>
          <w:rFonts w:eastAsia="Calibri"/>
          <w:color w:val="auto"/>
          <w:sz w:val="28"/>
          <w:szCs w:val="28"/>
        </w:rPr>
        <w:t xml:space="preserve"> встановлено, що </w:t>
      </w:r>
      <w:r w:rsidRPr="00E87CD9">
        <w:rPr>
          <w:color w:val="auto"/>
          <w:sz w:val="28"/>
          <w:szCs w:val="28"/>
          <w:lang w:eastAsia="ru-RU"/>
        </w:rPr>
        <w:t xml:space="preserve">за інтенсивністю антиноцицептивної дії дані препарати розташовуються наступним чином: </w:t>
      </w:r>
      <w:r w:rsidR="00AF1827" w:rsidRPr="00E87CD9">
        <w:rPr>
          <w:rStyle w:val="Default20Paragraph20Font"/>
          <w:rFonts w:eastAsia="Calibri"/>
          <w:iCs/>
          <w:color w:val="auto"/>
          <w:sz w:val="28"/>
          <w:szCs w:val="28"/>
        </w:rPr>
        <w:t xml:space="preserve">диклофенак натрію (+212%) </w:t>
      </w:r>
      <w:r w:rsidR="00AF1827" w:rsidRPr="00E87CD9">
        <w:rPr>
          <w:rFonts w:eastAsia="Calibri"/>
          <w:color w:val="auto"/>
          <w:sz w:val="28"/>
          <w:szCs w:val="28"/>
        </w:rPr>
        <w:t>(р</w:t>
      </w:r>
      <w:r w:rsidR="00AF1827" w:rsidRPr="00E87CD9">
        <w:rPr>
          <w:rFonts w:eastAsia="Calibri"/>
          <w:iCs/>
          <w:color w:val="auto"/>
          <w:sz w:val="28"/>
          <w:szCs w:val="28"/>
        </w:rPr>
        <w:t>&lt;</w:t>
      </w:r>
      <w:r w:rsidR="00AF1827" w:rsidRPr="00E87CD9">
        <w:rPr>
          <w:rFonts w:eastAsia="Calibri"/>
          <w:color w:val="auto"/>
          <w:sz w:val="28"/>
          <w:szCs w:val="28"/>
        </w:rPr>
        <w:t xml:space="preserve">0,001) </w:t>
      </w:r>
      <w:r w:rsidR="00AF1827" w:rsidRPr="00E87CD9">
        <w:rPr>
          <w:rStyle w:val="Default20Paragraph20Font"/>
          <w:rFonts w:eastAsia="Calibri"/>
          <w:iCs/>
          <w:color w:val="auto"/>
          <w:sz w:val="28"/>
          <w:szCs w:val="28"/>
        </w:rPr>
        <w:t xml:space="preserve">≥ ібупрофен (+144%) </w:t>
      </w:r>
      <w:r w:rsidR="00AF1827" w:rsidRPr="00E87CD9">
        <w:rPr>
          <w:rFonts w:eastAsia="Calibri"/>
          <w:color w:val="auto"/>
          <w:sz w:val="28"/>
          <w:szCs w:val="28"/>
        </w:rPr>
        <w:t>(р</w:t>
      </w:r>
      <w:r w:rsidR="00AF1827" w:rsidRPr="00E87CD9">
        <w:rPr>
          <w:rFonts w:eastAsia="Calibri"/>
          <w:iCs/>
          <w:color w:val="auto"/>
          <w:sz w:val="28"/>
          <w:szCs w:val="28"/>
        </w:rPr>
        <w:t>&lt;</w:t>
      </w:r>
      <w:r w:rsidR="00AF1827" w:rsidRPr="00E87CD9">
        <w:rPr>
          <w:rFonts w:eastAsia="Calibri"/>
          <w:color w:val="auto"/>
          <w:sz w:val="28"/>
          <w:szCs w:val="28"/>
        </w:rPr>
        <w:t xml:space="preserve">0,001) </w:t>
      </w:r>
      <w:r w:rsidR="00AF1827" w:rsidRPr="00E87CD9">
        <w:rPr>
          <w:rStyle w:val="Default20Paragraph20Font"/>
          <w:rFonts w:eastAsia="Calibri"/>
          <w:iCs/>
          <w:color w:val="auto"/>
          <w:sz w:val="28"/>
          <w:szCs w:val="28"/>
        </w:rPr>
        <w:t xml:space="preserve">≥ німесулід (+134%) </w:t>
      </w:r>
      <w:r w:rsidR="00AF1827" w:rsidRPr="00E87CD9">
        <w:rPr>
          <w:rFonts w:eastAsia="Calibri"/>
          <w:color w:val="auto"/>
          <w:sz w:val="28"/>
          <w:szCs w:val="28"/>
        </w:rPr>
        <w:t>(р</w:t>
      </w:r>
      <w:r w:rsidR="00AF1827" w:rsidRPr="00E87CD9">
        <w:rPr>
          <w:rFonts w:eastAsia="Calibri"/>
          <w:iCs/>
          <w:color w:val="auto"/>
          <w:sz w:val="28"/>
          <w:szCs w:val="28"/>
        </w:rPr>
        <w:t>&lt;</w:t>
      </w:r>
      <w:r w:rsidR="00AF1827" w:rsidRPr="00E87CD9">
        <w:rPr>
          <w:rFonts w:eastAsia="Calibri"/>
          <w:color w:val="auto"/>
          <w:sz w:val="28"/>
          <w:szCs w:val="28"/>
        </w:rPr>
        <w:t xml:space="preserve">0,001) </w:t>
      </w:r>
      <w:r w:rsidR="00AF1827" w:rsidRPr="00E87CD9">
        <w:rPr>
          <w:rStyle w:val="Default20Paragraph20Font"/>
          <w:rFonts w:eastAsia="Calibri"/>
          <w:iCs/>
          <w:color w:val="auto"/>
          <w:sz w:val="28"/>
          <w:szCs w:val="28"/>
        </w:rPr>
        <w:t xml:space="preserve">≥ парацетамол (+116%) </w:t>
      </w:r>
      <w:r w:rsidR="00AF1827" w:rsidRPr="00E87CD9">
        <w:rPr>
          <w:rFonts w:eastAsia="Calibri"/>
          <w:color w:val="auto"/>
          <w:sz w:val="28"/>
          <w:szCs w:val="28"/>
        </w:rPr>
        <w:t>(р</w:t>
      </w:r>
      <w:r w:rsidR="00AF1827" w:rsidRPr="00E87CD9">
        <w:rPr>
          <w:rFonts w:eastAsia="Calibri"/>
          <w:iCs/>
          <w:color w:val="auto"/>
          <w:sz w:val="28"/>
          <w:szCs w:val="28"/>
        </w:rPr>
        <w:t>&lt;</w:t>
      </w:r>
      <w:r w:rsidR="00AF1827" w:rsidRPr="00E87CD9">
        <w:rPr>
          <w:rFonts w:eastAsia="Calibri"/>
          <w:color w:val="auto"/>
          <w:sz w:val="28"/>
          <w:szCs w:val="28"/>
        </w:rPr>
        <w:t xml:space="preserve">0,001) </w:t>
      </w:r>
      <w:r w:rsidR="00AF1827" w:rsidRPr="00E87CD9">
        <w:rPr>
          <w:rStyle w:val="Default20Paragraph20Font"/>
          <w:rFonts w:eastAsia="Calibri"/>
          <w:iCs/>
          <w:color w:val="auto"/>
          <w:sz w:val="28"/>
          <w:szCs w:val="28"/>
        </w:rPr>
        <w:t xml:space="preserve">≥ мелоксикам (+104%) </w:t>
      </w:r>
      <w:r w:rsidR="00AF1827" w:rsidRPr="00E87CD9">
        <w:rPr>
          <w:rFonts w:eastAsia="Calibri"/>
          <w:color w:val="auto"/>
          <w:sz w:val="28"/>
          <w:szCs w:val="28"/>
        </w:rPr>
        <w:t>(р</w:t>
      </w:r>
      <w:r w:rsidR="00AF1827" w:rsidRPr="00E87CD9">
        <w:rPr>
          <w:rFonts w:eastAsia="Calibri"/>
          <w:iCs/>
          <w:color w:val="auto"/>
          <w:sz w:val="28"/>
          <w:szCs w:val="28"/>
        </w:rPr>
        <w:t>&lt;</w:t>
      </w:r>
      <w:r w:rsidR="00AF1827" w:rsidRPr="00E87CD9">
        <w:rPr>
          <w:rFonts w:eastAsia="Calibri"/>
          <w:color w:val="auto"/>
          <w:sz w:val="28"/>
          <w:szCs w:val="28"/>
        </w:rPr>
        <w:t xml:space="preserve">0,001) </w:t>
      </w:r>
      <w:r w:rsidR="00AF1827" w:rsidRPr="00E87CD9">
        <w:rPr>
          <w:rStyle w:val="Default20Paragraph20Font"/>
          <w:rFonts w:eastAsia="Calibri"/>
          <w:iCs/>
          <w:color w:val="auto"/>
          <w:sz w:val="28"/>
          <w:szCs w:val="28"/>
        </w:rPr>
        <w:t xml:space="preserve">≥ целекоксиб (+93%) </w:t>
      </w:r>
      <w:r w:rsidR="00AF1827" w:rsidRPr="00E87CD9">
        <w:rPr>
          <w:rFonts w:eastAsia="Calibri"/>
          <w:color w:val="auto"/>
          <w:sz w:val="28"/>
          <w:szCs w:val="28"/>
        </w:rPr>
        <w:t>(р</w:t>
      </w:r>
      <w:r w:rsidR="00AF1827" w:rsidRPr="00E87CD9">
        <w:rPr>
          <w:rFonts w:eastAsia="Calibri"/>
          <w:iCs/>
          <w:color w:val="auto"/>
          <w:sz w:val="28"/>
          <w:szCs w:val="28"/>
        </w:rPr>
        <w:t>&lt;</w:t>
      </w:r>
      <w:r w:rsidR="00AF1827" w:rsidRPr="00E87CD9">
        <w:rPr>
          <w:rFonts w:eastAsia="Calibri"/>
          <w:color w:val="auto"/>
          <w:sz w:val="28"/>
          <w:szCs w:val="28"/>
        </w:rPr>
        <w:t>0,001)</w:t>
      </w:r>
      <w:r w:rsidRPr="00E87CD9">
        <w:rPr>
          <w:rStyle w:val="Default20Paragraph20Font"/>
          <w:rFonts w:eastAsia="Calibri"/>
          <w:iCs/>
          <w:color w:val="auto"/>
          <w:sz w:val="28"/>
          <w:szCs w:val="28"/>
        </w:rPr>
        <w:t>, що відображає найвищу антиноцицептивну активність диклофенаку натрію.</w:t>
      </w:r>
    </w:p>
    <w:p w:rsidR="00593881" w:rsidRPr="00E87CD9" w:rsidRDefault="00593881" w:rsidP="00593881">
      <w:pPr>
        <w:ind w:firstLine="709"/>
        <w:jc w:val="both"/>
        <w:rPr>
          <w:color w:val="auto"/>
          <w:sz w:val="28"/>
          <w:szCs w:val="28"/>
        </w:rPr>
      </w:pPr>
      <w:r w:rsidRPr="00E87CD9">
        <w:rPr>
          <w:color w:val="auto"/>
          <w:sz w:val="28"/>
          <w:szCs w:val="28"/>
        </w:rPr>
        <w:t>3.О</w:t>
      </w:r>
      <w:r w:rsidRPr="00E87CD9">
        <w:rPr>
          <w:bCs/>
          <w:color w:val="auto"/>
          <w:sz w:val="28"/>
          <w:szCs w:val="28"/>
        </w:rPr>
        <w:t xml:space="preserve">стеоартроз та гіпотиреоз </w:t>
      </w:r>
      <w:r w:rsidRPr="00E87CD9">
        <w:rPr>
          <w:color w:val="auto"/>
          <w:sz w:val="28"/>
          <w:szCs w:val="28"/>
        </w:rPr>
        <w:t xml:space="preserve">сприяють погіршенню </w:t>
      </w:r>
      <w:r w:rsidRPr="00E87CD9">
        <w:rPr>
          <w:bCs/>
          <w:color w:val="auto"/>
          <w:sz w:val="28"/>
          <w:szCs w:val="28"/>
        </w:rPr>
        <w:t>рухової та дослідницької активності</w:t>
      </w:r>
      <w:r w:rsidRPr="00E87CD9">
        <w:rPr>
          <w:color w:val="auto"/>
          <w:sz w:val="28"/>
          <w:szCs w:val="28"/>
        </w:rPr>
        <w:t xml:space="preserve"> у щурів, а замісна гормональна фармакотерапія L-тироксином сприяє її відновленню</w:t>
      </w:r>
      <w:r w:rsidR="00B90B59" w:rsidRPr="00E87CD9">
        <w:rPr>
          <w:color w:val="auto"/>
          <w:sz w:val="28"/>
          <w:szCs w:val="28"/>
        </w:rPr>
        <w:t xml:space="preserve"> (</w:t>
      </w:r>
      <w:r w:rsidR="00B90B59" w:rsidRPr="00E87CD9">
        <w:rPr>
          <w:rFonts w:eastAsia="Calibri"/>
          <w:iCs/>
          <w:color w:val="auto"/>
          <w:sz w:val="28"/>
          <w:szCs w:val="28"/>
        </w:rPr>
        <w:t>р&lt;0,05</w:t>
      </w:r>
      <w:r w:rsidR="00B90B59" w:rsidRPr="00E87CD9">
        <w:rPr>
          <w:color w:val="auto"/>
          <w:sz w:val="28"/>
          <w:szCs w:val="28"/>
        </w:rPr>
        <w:t>)</w:t>
      </w:r>
      <w:r w:rsidRPr="00E87CD9">
        <w:rPr>
          <w:color w:val="auto"/>
          <w:sz w:val="28"/>
          <w:szCs w:val="28"/>
        </w:rPr>
        <w:t>. Призначення диклофенаку натрію сумісно з L-тироксином призводить до потенціювання позитивного впливу L-тироксину на рухову та дослідницьку активність порівняно до монотерапії L-тироксином (</w:t>
      </w:r>
      <w:r w:rsidRPr="00E87CD9">
        <w:rPr>
          <w:rFonts w:eastAsia="Calibri"/>
          <w:iCs/>
          <w:color w:val="auto"/>
          <w:sz w:val="28"/>
          <w:szCs w:val="28"/>
        </w:rPr>
        <w:t>р&lt;0,05</w:t>
      </w:r>
      <w:r w:rsidRPr="00E87CD9">
        <w:rPr>
          <w:color w:val="auto"/>
          <w:sz w:val="28"/>
          <w:szCs w:val="28"/>
        </w:rPr>
        <w:t>).</w:t>
      </w:r>
    </w:p>
    <w:p w:rsidR="00593881" w:rsidRPr="00E87CD9" w:rsidRDefault="00593881" w:rsidP="00593881">
      <w:pPr>
        <w:ind w:left="142" w:firstLine="709"/>
        <w:jc w:val="both"/>
        <w:rPr>
          <w:color w:val="auto"/>
          <w:sz w:val="28"/>
          <w:szCs w:val="28"/>
        </w:rPr>
      </w:pPr>
      <w:r w:rsidRPr="00E87CD9">
        <w:rPr>
          <w:color w:val="auto"/>
          <w:sz w:val="28"/>
          <w:szCs w:val="28"/>
        </w:rPr>
        <w:t xml:space="preserve">4.За ступенем впливу на запальні процеси у суглобі за показниками рівнів інтерлейкінів (IL 1, IL 6 та IL 8), матриксних металопротеїназ (ММП-3, ММП-9 та ММП-13), фактору некрозу пухлин (ФНП) та С-реактивного протеїну (СРП) та за </w:t>
      </w:r>
      <w:r w:rsidRPr="00E87CD9">
        <w:rPr>
          <w:bCs/>
          <w:color w:val="auto"/>
          <w:sz w:val="28"/>
          <w:szCs w:val="28"/>
        </w:rPr>
        <w:t xml:space="preserve">інтенсивністю впливу на дегенеративно-дистрофічні процеси у кістковій тканині (за рівнем маркеру розпаду колагену </w:t>
      </w:r>
      <w:r w:rsidRPr="00E87CD9">
        <w:rPr>
          <w:color w:val="auto"/>
          <w:sz w:val="28"/>
          <w:szCs w:val="28"/>
        </w:rPr>
        <w:t>I</w:t>
      </w:r>
      <w:r w:rsidRPr="00E87CD9">
        <w:rPr>
          <w:bCs/>
          <w:color w:val="auto"/>
          <w:sz w:val="28"/>
          <w:szCs w:val="28"/>
        </w:rPr>
        <w:t xml:space="preserve"> типу (</w:t>
      </w:r>
      <w:r w:rsidRPr="00E87CD9">
        <w:rPr>
          <w:color w:val="auto"/>
          <w:sz w:val="28"/>
          <w:szCs w:val="28"/>
        </w:rPr>
        <w:t>СТХ I) у сироватці крові щурів) досліджені препарати розташувались наступним чином: диклофенак натрію &gt; ібупрофен &gt; німесулід = мелоксикам &gt; целекоксиб &gt; парацетамол, що відображає різну ефективність зазначених препаратів на патологічні прояви коморбідної патології</w:t>
      </w:r>
      <w:r w:rsidR="00F338DC" w:rsidRPr="00E87CD9">
        <w:rPr>
          <w:color w:val="auto"/>
          <w:sz w:val="28"/>
          <w:szCs w:val="28"/>
        </w:rPr>
        <w:t xml:space="preserve"> (</w:t>
      </w:r>
      <w:r w:rsidR="00F338DC" w:rsidRPr="00E87CD9">
        <w:rPr>
          <w:rFonts w:eastAsia="Calibri"/>
          <w:iCs/>
          <w:color w:val="auto"/>
          <w:sz w:val="28"/>
          <w:szCs w:val="28"/>
        </w:rPr>
        <w:t>р&lt;0,05</w:t>
      </w:r>
      <w:r w:rsidR="00F338DC" w:rsidRPr="00E87CD9">
        <w:rPr>
          <w:color w:val="auto"/>
          <w:sz w:val="28"/>
          <w:szCs w:val="28"/>
        </w:rPr>
        <w:t>)</w:t>
      </w:r>
      <w:r w:rsidRPr="00E87CD9">
        <w:rPr>
          <w:color w:val="auto"/>
          <w:sz w:val="28"/>
          <w:szCs w:val="28"/>
        </w:rPr>
        <w:t>.</w:t>
      </w:r>
    </w:p>
    <w:p w:rsidR="00593881" w:rsidRPr="00E87CD9" w:rsidRDefault="00593881" w:rsidP="00593881">
      <w:pPr>
        <w:pStyle w:val="WW-1"/>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color w:val="auto"/>
          <w:kern w:val="28"/>
          <w:sz w:val="28"/>
          <w:szCs w:val="28"/>
          <w:lang w:val="uk-UA"/>
        </w:rPr>
        <w:t>З</w:t>
      </w:r>
      <w:r w:rsidRPr="00E87CD9">
        <w:rPr>
          <w:rFonts w:ascii="Times New Roman" w:hAnsi="Times New Roman" w:cs="Times New Roman"/>
          <w:color w:val="auto"/>
          <w:sz w:val="28"/>
          <w:szCs w:val="28"/>
          <w:lang w:val="uk-UA"/>
        </w:rPr>
        <w:t>а ступенем впливу на дегенеративно-дистрофічні процеси у хрящовій тканині,</w:t>
      </w:r>
      <w:r w:rsidRPr="00E87CD9">
        <w:rPr>
          <w:rFonts w:ascii="Times New Roman" w:hAnsi="Times New Roman" w:cs="Times New Roman"/>
          <w:bCs/>
          <w:color w:val="auto"/>
          <w:sz w:val="28"/>
          <w:szCs w:val="28"/>
          <w:lang w:val="uk-UA"/>
        </w:rPr>
        <w:t xml:space="preserve"> що оцінені за рівнем маркеру розпаду колагену </w:t>
      </w:r>
      <w:r w:rsidRPr="00E87CD9">
        <w:rPr>
          <w:rFonts w:ascii="Times New Roman" w:hAnsi="Times New Roman" w:cs="Times New Roman"/>
          <w:color w:val="auto"/>
          <w:sz w:val="28"/>
          <w:szCs w:val="28"/>
          <w:lang w:val="uk-UA"/>
        </w:rPr>
        <w:t>IІ</w:t>
      </w:r>
      <w:r w:rsidRPr="00E87CD9">
        <w:rPr>
          <w:rFonts w:ascii="Times New Roman" w:hAnsi="Times New Roman" w:cs="Times New Roman"/>
          <w:bCs/>
          <w:color w:val="auto"/>
          <w:sz w:val="28"/>
          <w:szCs w:val="28"/>
          <w:lang w:val="uk-UA"/>
        </w:rPr>
        <w:t xml:space="preserve"> типу (</w:t>
      </w:r>
      <w:r w:rsidRPr="00E87CD9">
        <w:rPr>
          <w:rFonts w:ascii="Times New Roman" w:hAnsi="Times New Roman" w:cs="Times New Roman"/>
          <w:color w:val="auto"/>
          <w:sz w:val="28"/>
          <w:szCs w:val="28"/>
          <w:lang w:val="uk-UA"/>
        </w:rPr>
        <w:t>СТХ IІ) у сироватці крові щурів, досліджені препарати розташувались наступним чином: німесулід &gt; целекоксиб &gt; мелоксикам &gt; ібупрофен &gt; диклофенак натрію &gt; парацетамол</w:t>
      </w:r>
      <w:r w:rsidR="00234FD7" w:rsidRPr="00E87CD9">
        <w:rPr>
          <w:rFonts w:ascii="Times New Roman" w:hAnsi="Times New Roman" w:cs="Times New Roman"/>
          <w:color w:val="auto"/>
          <w:sz w:val="28"/>
          <w:szCs w:val="28"/>
          <w:lang w:val="uk-UA"/>
        </w:rPr>
        <w:t xml:space="preserve"> (</w:t>
      </w:r>
      <w:r w:rsidR="00234FD7" w:rsidRPr="00E87CD9">
        <w:rPr>
          <w:rFonts w:ascii="Times New Roman" w:eastAsia="Calibri" w:hAnsi="Times New Roman" w:cs="Times New Roman"/>
          <w:iCs/>
          <w:color w:val="auto"/>
          <w:sz w:val="28"/>
          <w:szCs w:val="28"/>
          <w:lang w:val="uk-UA"/>
        </w:rPr>
        <w:t>р&lt;0,05</w:t>
      </w:r>
      <w:r w:rsidR="00234FD7" w:rsidRPr="00E87CD9">
        <w:rPr>
          <w:rFonts w:ascii="Times New Roman" w:hAnsi="Times New Roman" w:cs="Times New Roman"/>
          <w:color w:val="auto"/>
          <w:sz w:val="28"/>
          <w:szCs w:val="28"/>
          <w:lang w:val="uk-UA"/>
        </w:rPr>
        <w:t>)</w:t>
      </w:r>
      <w:r w:rsidRPr="00E87CD9">
        <w:rPr>
          <w:rFonts w:ascii="Times New Roman" w:hAnsi="Times New Roman" w:cs="Times New Roman"/>
          <w:color w:val="auto"/>
          <w:sz w:val="28"/>
          <w:szCs w:val="28"/>
          <w:lang w:val="uk-UA"/>
        </w:rPr>
        <w:t>.</w:t>
      </w:r>
    </w:p>
    <w:p w:rsidR="00593881" w:rsidRPr="00E87CD9" w:rsidRDefault="00593881" w:rsidP="00593881">
      <w:pPr>
        <w:pStyle w:val="af3"/>
        <w:ind w:left="0" w:right="0" w:firstLine="709"/>
        <w:rPr>
          <w:color w:val="auto"/>
          <w:sz w:val="28"/>
          <w:szCs w:val="28"/>
        </w:rPr>
      </w:pPr>
      <w:r w:rsidRPr="00E87CD9">
        <w:rPr>
          <w:color w:val="auto"/>
          <w:sz w:val="28"/>
          <w:szCs w:val="28"/>
        </w:rPr>
        <w:t>З</w:t>
      </w:r>
      <w:r w:rsidRPr="00E87CD9">
        <w:rPr>
          <w:bCs/>
          <w:color w:val="auto"/>
          <w:sz w:val="28"/>
          <w:szCs w:val="28"/>
        </w:rPr>
        <w:t>а ступенем впливу на активність остеобластів у кістковій тканині, які оцінені за рівнем кісткової лужної фосфатази (КЛФ)</w:t>
      </w:r>
      <w:r w:rsidRPr="00E87CD9">
        <w:rPr>
          <w:color w:val="auto"/>
          <w:sz w:val="28"/>
          <w:szCs w:val="28"/>
        </w:rPr>
        <w:t xml:space="preserve"> у сироватці крові щурів </w:t>
      </w:r>
      <w:r w:rsidRPr="00E87CD9">
        <w:rPr>
          <w:bCs/>
          <w:color w:val="auto"/>
          <w:sz w:val="28"/>
          <w:szCs w:val="28"/>
        </w:rPr>
        <w:t>досліджені препарати розташувались наступним чином: диклофенак натрію &gt; ібупрофен &gt; мелоксикам &gt; німесулід &gt; целекоксиб &gt; парацетамол</w:t>
      </w:r>
      <w:r w:rsidR="00234FD7" w:rsidRPr="00E87CD9">
        <w:rPr>
          <w:color w:val="auto"/>
          <w:sz w:val="28"/>
          <w:szCs w:val="28"/>
        </w:rPr>
        <w:t>(</w:t>
      </w:r>
      <w:r w:rsidR="00234FD7" w:rsidRPr="00E87CD9">
        <w:rPr>
          <w:rFonts w:eastAsia="Calibri"/>
          <w:iCs/>
          <w:color w:val="auto"/>
          <w:sz w:val="28"/>
          <w:szCs w:val="28"/>
        </w:rPr>
        <w:t>р&lt;0,05</w:t>
      </w:r>
      <w:r w:rsidR="00234FD7" w:rsidRPr="00E87CD9">
        <w:rPr>
          <w:color w:val="auto"/>
          <w:sz w:val="28"/>
          <w:szCs w:val="28"/>
        </w:rPr>
        <w:t>)</w:t>
      </w:r>
      <w:r w:rsidRPr="00E87CD9">
        <w:rPr>
          <w:bCs/>
          <w:color w:val="auto"/>
          <w:sz w:val="28"/>
          <w:szCs w:val="28"/>
        </w:rPr>
        <w:t>.</w:t>
      </w:r>
    </w:p>
    <w:p w:rsidR="000B3CCD" w:rsidRPr="00E87CD9" w:rsidRDefault="00593881" w:rsidP="00593881">
      <w:pPr>
        <w:ind w:firstLine="709"/>
        <w:jc w:val="both"/>
        <w:rPr>
          <w:bCs/>
          <w:color w:val="auto"/>
          <w:sz w:val="28"/>
          <w:szCs w:val="28"/>
        </w:rPr>
      </w:pPr>
      <w:r w:rsidRPr="00E87CD9">
        <w:rPr>
          <w:color w:val="auto"/>
          <w:sz w:val="28"/>
          <w:szCs w:val="28"/>
        </w:rPr>
        <w:t>5.На фоні остеоартрозу та гіпотиреозу у щурів ібупрофен, мелоксикам та німесулід знижують рівень ТТГ у сироватці крові щурів у 1,47; 1,</w:t>
      </w:r>
      <w:r w:rsidR="00234FD7" w:rsidRPr="00E87CD9">
        <w:rPr>
          <w:color w:val="auto"/>
          <w:sz w:val="28"/>
          <w:szCs w:val="28"/>
        </w:rPr>
        <w:t>29</w:t>
      </w:r>
      <w:r w:rsidRPr="00E87CD9">
        <w:rPr>
          <w:color w:val="auto"/>
          <w:sz w:val="28"/>
          <w:szCs w:val="28"/>
        </w:rPr>
        <w:t xml:space="preserve"> та 1,4</w:t>
      </w:r>
      <w:r w:rsidR="00234FD7" w:rsidRPr="00E87CD9">
        <w:rPr>
          <w:color w:val="auto"/>
          <w:sz w:val="28"/>
          <w:szCs w:val="28"/>
        </w:rPr>
        <w:t>0</w:t>
      </w:r>
      <w:r w:rsidRPr="00E87CD9">
        <w:rPr>
          <w:color w:val="auto"/>
          <w:sz w:val="28"/>
          <w:szCs w:val="28"/>
        </w:rPr>
        <w:t xml:space="preserve"> рази </w:t>
      </w:r>
      <w:r w:rsidR="00275C44" w:rsidRPr="00E87CD9">
        <w:rPr>
          <w:color w:val="auto"/>
          <w:sz w:val="28"/>
          <w:szCs w:val="28"/>
        </w:rPr>
        <w:t>(</w:t>
      </w:r>
      <w:r w:rsidR="00275C44" w:rsidRPr="00E87CD9">
        <w:rPr>
          <w:rFonts w:eastAsia="Calibri"/>
          <w:iCs/>
          <w:color w:val="auto"/>
          <w:sz w:val="28"/>
          <w:szCs w:val="28"/>
        </w:rPr>
        <w:t>р&lt;0,05</w:t>
      </w:r>
      <w:r w:rsidR="00275C44" w:rsidRPr="00E87CD9">
        <w:rPr>
          <w:color w:val="auto"/>
          <w:sz w:val="28"/>
          <w:szCs w:val="28"/>
        </w:rPr>
        <w:t xml:space="preserve">) </w:t>
      </w:r>
      <w:r w:rsidRPr="00E87CD9">
        <w:rPr>
          <w:color w:val="auto"/>
          <w:sz w:val="28"/>
          <w:szCs w:val="28"/>
        </w:rPr>
        <w:t xml:space="preserve">відповідно та підвищують рівень Т4 у 1,23; 1,27 та 1,26 разів </w:t>
      </w:r>
      <w:r w:rsidR="00275C44" w:rsidRPr="00E87CD9">
        <w:rPr>
          <w:color w:val="auto"/>
          <w:sz w:val="28"/>
          <w:szCs w:val="28"/>
        </w:rPr>
        <w:t>(</w:t>
      </w:r>
      <w:r w:rsidR="00275C44" w:rsidRPr="00E87CD9">
        <w:rPr>
          <w:rFonts w:eastAsia="Calibri"/>
          <w:iCs/>
          <w:color w:val="auto"/>
          <w:sz w:val="28"/>
          <w:szCs w:val="28"/>
        </w:rPr>
        <w:t>р&lt;0,05</w:t>
      </w:r>
      <w:r w:rsidR="00275C44" w:rsidRPr="00E87CD9">
        <w:rPr>
          <w:color w:val="auto"/>
          <w:sz w:val="28"/>
          <w:szCs w:val="28"/>
        </w:rPr>
        <w:t xml:space="preserve">) </w:t>
      </w:r>
      <w:r w:rsidRPr="00E87CD9">
        <w:rPr>
          <w:color w:val="auto"/>
          <w:sz w:val="28"/>
          <w:szCs w:val="28"/>
        </w:rPr>
        <w:t>відповідно</w:t>
      </w:r>
      <w:r w:rsidRPr="003E2AD3">
        <w:rPr>
          <w:color w:val="auto"/>
          <w:sz w:val="28"/>
          <w:szCs w:val="28"/>
        </w:rPr>
        <w:t xml:space="preserve">. </w:t>
      </w:r>
      <w:r w:rsidR="000B3CCD" w:rsidRPr="003E2AD3">
        <w:rPr>
          <w:color w:val="auto"/>
          <w:sz w:val="28"/>
          <w:szCs w:val="28"/>
        </w:rPr>
        <w:t>Диклофенак натрію та целекоксиб знижують рівень ТТГ у 1,16 та 1,15 рази (р</w:t>
      </w:r>
      <w:r w:rsidR="000B3CCD" w:rsidRPr="003E2AD3">
        <w:rPr>
          <w:rFonts w:eastAsia="Calibri"/>
          <w:iCs/>
          <w:color w:val="auto"/>
          <w:sz w:val="28"/>
          <w:szCs w:val="28"/>
        </w:rPr>
        <w:t>&lt;</w:t>
      </w:r>
      <w:r w:rsidR="000B3CCD" w:rsidRPr="003E2AD3">
        <w:rPr>
          <w:color w:val="auto"/>
          <w:sz w:val="28"/>
          <w:szCs w:val="28"/>
        </w:rPr>
        <w:t>0,05) та підвищують рівень Т4 у 1,1 та 1,05 рази (р&gt;0,05) відповідно.</w:t>
      </w:r>
    </w:p>
    <w:p w:rsidR="00593881" w:rsidRPr="00E87CD9" w:rsidRDefault="00593881" w:rsidP="00593881">
      <w:pPr>
        <w:ind w:firstLine="709"/>
        <w:jc w:val="both"/>
        <w:rPr>
          <w:bCs/>
          <w:color w:val="auto"/>
          <w:sz w:val="28"/>
          <w:szCs w:val="28"/>
        </w:rPr>
      </w:pPr>
      <w:r w:rsidRPr="00E87CD9">
        <w:rPr>
          <w:bCs/>
          <w:color w:val="auto"/>
          <w:sz w:val="28"/>
          <w:szCs w:val="28"/>
        </w:rPr>
        <w:t>6.На тлі коморбідного стану – остеоартрозу з гіпотиреозом доцільне комбіноване застосування</w:t>
      </w:r>
      <w:r w:rsidRPr="00E87CD9">
        <w:rPr>
          <w:color w:val="auto"/>
          <w:sz w:val="28"/>
          <w:szCs w:val="28"/>
        </w:rPr>
        <w:t xml:space="preserve"> L-тироксину, диклофенаку натрію та хондроїтину сульфату з метою посилення знеболювального ефекту окремих препаратів, відновлення морфометричних розмірів уражених суглобів, рухової, дослідницької та вегетативної активності щурів і біохімічних маркерів </w:t>
      </w:r>
      <w:r w:rsidRPr="00E87CD9">
        <w:rPr>
          <w:color w:val="auto"/>
          <w:sz w:val="28"/>
          <w:szCs w:val="28"/>
        </w:rPr>
        <w:lastRenderedPageBreak/>
        <w:t>запального процесу. Встановлена відсутність біофармацевтичної взаємодії між зазначеними препаратами.</w:t>
      </w:r>
    </w:p>
    <w:p w:rsidR="00593881" w:rsidRPr="00E87CD9" w:rsidRDefault="00593881" w:rsidP="00593881">
      <w:pPr>
        <w:pStyle w:val="WW-"/>
        <w:spacing w:after="0" w:line="240" w:lineRule="auto"/>
        <w:ind w:firstLine="709"/>
        <w:jc w:val="both"/>
        <w:rPr>
          <w:rFonts w:ascii="Times New Roman" w:hAnsi="Times New Roman" w:cs="Times New Roman"/>
          <w:color w:val="auto"/>
          <w:sz w:val="28"/>
          <w:szCs w:val="28"/>
          <w:lang w:val="uk-UA"/>
        </w:rPr>
      </w:pPr>
      <w:r w:rsidRPr="00E87CD9">
        <w:rPr>
          <w:rFonts w:ascii="Times New Roman" w:hAnsi="Times New Roman" w:cs="Times New Roman"/>
          <w:iCs/>
          <w:color w:val="auto"/>
          <w:sz w:val="28"/>
          <w:szCs w:val="28"/>
          <w:lang w:val="uk-UA"/>
        </w:rPr>
        <w:t>7.К</w:t>
      </w:r>
      <w:r w:rsidRPr="00E87CD9">
        <w:rPr>
          <w:rFonts w:ascii="Times New Roman" w:hAnsi="Times New Roman" w:cs="Times New Roman"/>
          <w:color w:val="auto"/>
          <w:sz w:val="28"/>
          <w:szCs w:val="28"/>
          <w:lang w:val="uk-UA"/>
        </w:rPr>
        <w:t>омбіноване застосування диклофенаку натрію, хондроїтину сульфату та L-тироксину сприяє активній регенерації як хрящової, так і кісткової тканини з формуванням ділянок неоваскулогенезу, а комбіноване застосування L-тироксину, диклофенаку натрію та хондроїтину сульфату можна рекомендувати до використання за клінічного дослідження на тлі остеоартрозу, коморбідного з гіпотиреозом.</w:t>
      </w:r>
    </w:p>
    <w:p w:rsidR="00417DC7" w:rsidRPr="00E87CD9" w:rsidRDefault="00417DC7" w:rsidP="00417DC7">
      <w:pPr>
        <w:ind w:firstLine="709"/>
        <w:jc w:val="center"/>
        <w:rPr>
          <w:b/>
          <w:color w:val="auto"/>
          <w:sz w:val="28"/>
          <w:szCs w:val="28"/>
        </w:rPr>
      </w:pPr>
      <w:r w:rsidRPr="00E87CD9">
        <w:rPr>
          <w:b/>
          <w:color w:val="auto"/>
          <w:sz w:val="28"/>
          <w:szCs w:val="28"/>
        </w:rPr>
        <w:t>ПРАКТИЧНІ РЕКОМЕНДАЦІЇ</w:t>
      </w:r>
    </w:p>
    <w:p w:rsidR="006357B8" w:rsidRPr="00E87CD9" w:rsidRDefault="006357B8" w:rsidP="006357B8">
      <w:pPr>
        <w:ind w:firstLine="709"/>
        <w:jc w:val="both"/>
        <w:rPr>
          <w:rStyle w:val="Default20Paragraph20Font"/>
          <w:rFonts w:eastAsia="Arial Unicode MS"/>
          <w:color w:val="auto"/>
        </w:rPr>
      </w:pPr>
      <w:r w:rsidRPr="00E87CD9">
        <w:rPr>
          <w:rFonts w:eastAsia="Calibri"/>
          <w:color w:val="auto"/>
          <w:sz w:val="28"/>
          <w:szCs w:val="28"/>
        </w:rPr>
        <w:t xml:space="preserve">1. Селективні НПЗЗ і переважні інгібітори ЦОГ-2 </w:t>
      </w:r>
      <w:r w:rsidR="00814CE7" w:rsidRPr="00E87CD9">
        <w:rPr>
          <w:rFonts w:eastAsia="Calibri"/>
          <w:color w:val="auto"/>
          <w:sz w:val="28"/>
          <w:szCs w:val="28"/>
        </w:rPr>
        <w:t>виявляють меншу</w:t>
      </w:r>
      <w:r w:rsidRPr="00E87CD9">
        <w:rPr>
          <w:rFonts w:eastAsia="Calibri"/>
          <w:color w:val="auto"/>
          <w:sz w:val="28"/>
          <w:szCs w:val="28"/>
        </w:rPr>
        <w:t xml:space="preserve"> знеболювальну активність у порівнянні з невибірковими інгібіторами ЦОГ, а призначення замісної гормональної терапії гіпотиреозу відновлює </w:t>
      </w:r>
      <w:r w:rsidR="001063CD" w:rsidRPr="00E87CD9">
        <w:rPr>
          <w:rFonts w:eastAsia="Calibri"/>
          <w:color w:val="auto"/>
          <w:sz w:val="28"/>
          <w:szCs w:val="28"/>
        </w:rPr>
        <w:t xml:space="preserve">їх </w:t>
      </w:r>
      <w:r w:rsidRPr="00E87CD9">
        <w:rPr>
          <w:rFonts w:eastAsia="Calibri"/>
          <w:color w:val="auto"/>
          <w:sz w:val="28"/>
          <w:szCs w:val="28"/>
        </w:rPr>
        <w:t xml:space="preserve">антиноцицептивну активність на тлі остеоартрозу, коморбідного з гіпотиреозом, що обґрунтовує доцільність комбінованого застосування диклофенаку натрію, хондроїтину сульфату та </w:t>
      </w:r>
      <w:r w:rsidRPr="00E87CD9">
        <w:rPr>
          <w:color w:val="auto"/>
          <w:sz w:val="28"/>
          <w:szCs w:val="28"/>
        </w:rPr>
        <w:t>L-тироксину</w:t>
      </w:r>
      <w:r w:rsidRPr="00E87CD9">
        <w:rPr>
          <w:rFonts w:eastAsia="Calibri"/>
          <w:color w:val="auto"/>
          <w:sz w:val="28"/>
          <w:szCs w:val="28"/>
        </w:rPr>
        <w:t>.</w:t>
      </w:r>
    </w:p>
    <w:p w:rsidR="006357B8" w:rsidRPr="00E87CD9" w:rsidRDefault="006357B8" w:rsidP="006357B8">
      <w:pPr>
        <w:ind w:firstLine="709"/>
        <w:jc w:val="both"/>
        <w:rPr>
          <w:color w:val="auto"/>
        </w:rPr>
      </w:pPr>
      <w:r w:rsidRPr="00E87CD9">
        <w:rPr>
          <w:color w:val="auto"/>
          <w:kern w:val="2"/>
          <w:sz w:val="28"/>
          <w:szCs w:val="28"/>
          <w:lang w:eastAsia="uk-UA" w:bidi="hi-IN"/>
        </w:rPr>
        <w:t>2. Досліджені НПЗЗ та парацетамол мають різний вплив на ступінь запалення та на дегенеративно-дистрофічні процеси у кістковій та хрящовій тканині, що у клінічних умовах дозволить обирати відповідний засіб у залежності від клінічних проявів остеоартрозу.</w:t>
      </w:r>
    </w:p>
    <w:p w:rsidR="006357B8" w:rsidRPr="00E87CD9" w:rsidRDefault="006357B8" w:rsidP="006357B8">
      <w:pPr>
        <w:ind w:firstLine="709"/>
        <w:jc w:val="both"/>
        <w:rPr>
          <w:color w:val="auto"/>
        </w:rPr>
      </w:pPr>
      <w:r w:rsidRPr="00E87CD9">
        <w:rPr>
          <w:color w:val="auto"/>
          <w:sz w:val="28"/>
          <w:szCs w:val="28"/>
        </w:rPr>
        <w:t>3. При фармакотерапії остеоартрозу на тлі гіпотиреозу необхідно враховувати вплив різних аналгетиків на рівень гормонів ТТГ, Т3 та Т4 з метою раціональної корекції функціональної активності щитоподібної залози.</w:t>
      </w:r>
    </w:p>
    <w:p w:rsidR="004A6239" w:rsidRPr="00E87CD9" w:rsidRDefault="006357B8" w:rsidP="006357B8">
      <w:pPr>
        <w:numPr>
          <w:ilvl w:val="0"/>
          <w:numId w:val="2"/>
        </w:numPr>
        <w:ind w:firstLine="709"/>
        <w:jc w:val="both"/>
        <w:rPr>
          <w:b/>
          <w:color w:val="auto"/>
          <w:sz w:val="28"/>
          <w:szCs w:val="28"/>
        </w:rPr>
      </w:pPr>
      <w:r w:rsidRPr="00E87CD9">
        <w:rPr>
          <w:color w:val="auto"/>
          <w:sz w:val="28"/>
          <w:szCs w:val="28"/>
        </w:rPr>
        <w:t>4. Використання комбінованої терапії, заснованої на поєднанні диклофенаку натрію, хондроїтину сульфату та L-тироксину є доцільним і здатним підвищувати ефективність знеболювальної, протизапальної та хондропротекторної терапії при коморбідній патології остеоартрозу та гіпотиреозу.</w:t>
      </w:r>
    </w:p>
    <w:p w:rsidR="00B52CB9" w:rsidRPr="00E87CD9" w:rsidRDefault="00B52CB9" w:rsidP="006357B8">
      <w:pPr>
        <w:numPr>
          <w:ilvl w:val="0"/>
          <w:numId w:val="2"/>
        </w:numPr>
        <w:ind w:firstLine="709"/>
        <w:jc w:val="both"/>
        <w:rPr>
          <w:b/>
          <w:color w:val="auto"/>
          <w:sz w:val="28"/>
          <w:szCs w:val="28"/>
        </w:rPr>
      </w:pPr>
    </w:p>
    <w:p w:rsidR="00417DC7" w:rsidRPr="00E87CD9" w:rsidRDefault="00417DC7" w:rsidP="009D41FF">
      <w:pPr>
        <w:numPr>
          <w:ilvl w:val="0"/>
          <w:numId w:val="2"/>
        </w:numPr>
        <w:ind w:left="399"/>
        <w:jc w:val="center"/>
        <w:rPr>
          <w:b/>
          <w:color w:val="auto"/>
          <w:sz w:val="28"/>
          <w:szCs w:val="28"/>
        </w:rPr>
      </w:pPr>
      <w:r w:rsidRPr="00E87CD9">
        <w:rPr>
          <w:b/>
          <w:color w:val="auto"/>
          <w:sz w:val="28"/>
          <w:szCs w:val="28"/>
        </w:rPr>
        <w:t>СПИСОК ОПУБЛІКОВАНИХ ПРАЦЬ ЗА ТЕМОЮ ДИСЕРТАЦІЇ</w:t>
      </w:r>
    </w:p>
    <w:p w:rsidR="00417DC7" w:rsidRPr="00E87CD9" w:rsidRDefault="00417DC7" w:rsidP="00417DC7">
      <w:pPr>
        <w:tabs>
          <w:tab w:val="left" w:pos="0"/>
        </w:tabs>
        <w:ind w:left="399"/>
        <w:jc w:val="center"/>
        <w:rPr>
          <w:b/>
          <w:color w:val="auto"/>
          <w:sz w:val="28"/>
          <w:szCs w:val="28"/>
        </w:rPr>
      </w:pP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 xml:space="preserve">Носівець Д.С. Фармакологія хондропротекторів (огляд фармацевтичного ринку України). Вісник проблем біології та медицини. </w:t>
      </w:r>
      <w:r w:rsidRPr="00E87CD9">
        <w:rPr>
          <w:bCs/>
          <w:color w:val="auto"/>
          <w:sz w:val="28"/>
          <w:szCs w:val="28"/>
        </w:rPr>
        <w:t>2013. Т. 1 (104), № 4. С. 57-63.</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 xml:space="preserve">Носивец Д.С. Влияние функциональной недостаточности щитовидной железы на костно-хрящевую ткань. </w:t>
      </w:r>
      <w:r w:rsidRPr="00E87CD9">
        <w:rPr>
          <w:rFonts w:eastAsia="Calibri"/>
          <w:color w:val="auto"/>
          <w:sz w:val="28"/>
          <w:szCs w:val="28"/>
          <w:lang w:eastAsia="uk-UA"/>
        </w:rPr>
        <w:t>Morphologia</w:t>
      </w:r>
      <w:r w:rsidRPr="00E87CD9">
        <w:rPr>
          <w:rFonts w:eastAsia="Calibri"/>
          <w:color w:val="auto"/>
          <w:sz w:val="28"/>
          <w:szCs w:val="28"/>
        </w:rPr>
        <w:t>. 2019. Т. 13, № 1. С. 47-51.</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 xml:space="preserve">Носивец Д.С. Влияние комбинации НПВС на течение остеоартроза при сопутствующем гипотиреозе. Проблемы эндокринной патологии. 2019. № 2 (68). С. 40-45. </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 xml:space="preserve">Носивец Д.С. Экспериментальные модели патологии хрящевой ткани. Запорожский медицинский журнал. 2019. </w:t>
      </w:r>
      <w:r w:rsidRPr="00E87CD9">
        <w:rPr>
          <w:rFonts w:eastAsia="Franklin Gothic Demi"/>
          <w:color w:val="auto"/>
          <w:sz w:val="28"/>
          <w:szCs w:val="28"/>
        </w:rPr>
        <w:t>Т. 21, № 4 (115). С. 554-560.</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Носівець Д.С. Вплив нестероїдних протизапальних засобів на руховий, дослідницький та емоційний статус щурів у тесті «відкрите поле» за умов експериментального гіпотиреозу й остеоартрозу. Фармакологія та лікарська токсикологія. 2019. Т. 13, № 2. С. 98-104.</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lastRenderedPageBreak/>
        <w:t xml:space="preserve">Носівець Д.С. Можливість сумісного використання </w:t>
      </w:r>
      <w:r w:rsidRPr="00E87CD9">
        <w:rPr>
          <w:color w:val="auto"/>
          <w:sz w:val="28"/>
          <w:szCs w:val="28"/>
        </w:rPr>
        <w:t>L-тироксину, диклофенаку натрію та хондроітину сульфату</w:t>
      </w:r>
      <w:r w:rsidRPr="00E87CD9">
        <w:rPr>
          <w:rFonts w:eastAsia="Calibri"/>
          <w:color w:val="auto"/>
          <w:sz w:val="28"/>
          <w:szCs w:val="28"/>
        </w:rPr>
        <w:t xml:space="preserve"> при</w:t>
      </w:r>
      <w:r w:rsidRPr="00E87CD9">
        <w:rPr>
          <w:color w:val="auto"/>
          <w:sz w:val="28"/>
          <w:szCs w:val="28"/>
        </w:rPr>
        <w:t xml:space="preserve"> гіпотиреозі. </w:t>
      </w:r>
      <w:r w:rsidRPr="00E87CD9">
        <w:rPr>
          <w:rFonts w:eastAsia="Calibri-Bold"/>
          <w:color w:val="auto"/>
          <w:sz w:val="28"/>
          <w:szCs w:val="28"/>
        </w:rPr>
        <w:t>Вісник проблем біології і медицини. 2019. Т. 1 (150), № 2. С. 172-176.</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 xml:space="preserve">Носівець Д.С., Кошарний В.В., Мамчур В.Й., Опришко В.І. Дослідження впливу комбінованного застосування </w:t>
      </w:r>
      <w:r w:rsidRPr="00E87CD9">
        <w:rPr>
          <w:color w:val="auto"/>
          <w:sz w:val="28"/>
          <w:szCs w:val="28"/>
        </w:rPr>
        <w:t xml:space="preserve">L-тироксину (левотироксину), диклофенаку натрію та хондроітину сульфату на гістологічну структуру хрящової тканини. </w:t>
      </w:r>
      <w:r w:rsidRPr="00E87CD9">
        <w:rPr>
          <w:rFonts w:eastAsia="Calibri"/>
          <w:color w:val="auto"/>
          <w:sz w:val="28"/>
          <w:szCs w:val="28"/>
          <w:lang w:eastAsia="uk-UA"/>
        </w:rPr>
        <w:t>Morphologia</w:t>
      </w:r>
      <w:r w:rsidRPr="00E87CD9">
        <w:rPr>
          <w:rFonts w:eastAsia="Calibri"/>
          <w:color w:val="auto"/>
          <w:sz w:val="28"/>
          <w:szCs w:val="28"/>
        </w:rPr>
        <w:t>. 2019. Т. 13, № 2. С. 71-75. (</w:t>
      </w:r>
      <w:r w:rsidRPr="00E87CD9">
        <w:rPr>
          <w:rFonts w:eastAsia="Georgia"/>
          <w:i/>
          <w:color w:val="auto"/>
          <w:sz w:val="28"/>
          <w:szCs w:val="28"/>
        </w:rPr>
        <w:t xml:space="preserve">Особистий внесок дисертанта: </w:t>
      </w:r>
      <w:r w:rsidRPr="00E87CD9">
        <w:rPr>
          <w:i/>
          <w:color w:val="auto"/>
          <w:sz w:val="28"/>
          <w:szCs w:val="28"/>
          <w:lang w:eastAsia="ru-RU"/>
        </w:rPr>
        <w:t>концепція та дизайн дослідження</w:t>
      </w:r>
      <w:r w:rsidRPr="00E87CD9">
        <w:rPr>
          <w:i/>
          <w:color w:val="auto"/>
          <w:sz w:val="28"/>
          <w:szCs w:val="28"/>
        </w:rPr>
        <w:t>,</w:t>
      </w:r>
      <w:r w:rsidRPr="00E87CD9">
        <w:rPr>
          <w:i/>
          <w:color w:val="auto"/>
          <w:sz w:val="28"/>
          <w:szCs w:val="28"/>
          <w:lang w:eastAsia="ru-RU"/>
        </w:rPr>
        <w:t xml:space="preserve"> збір даних</w:t>
      </w:r>
      <w:r w:rsidRPr="00E87CD9">
        <w:rPr>
          <w:i/>
          <w:color w:val="auto"/>
          <w:sz w:val="28"/>
          <w:szCs w:val="28"/>
        </w:rPr>
        <w:t>,</w:t>
      </w:r>
      <w:r w:rsidRPr="00E87CD9">
        <w:rPr>
          <w:rFonts w:eastAsia="PragmaticaC"/>
          <w:i/>
          <w:color w:val="auto"/>
          <w:sz w:val="28"/>
          <w:szCs w:val="28"/>
        </w:rPr>
        <w:t xml:space="preserve">аналіз літературних джерел, </w:t>
      </w:r>
      <w:r w:rsidRPr="00E87CD9">
        <w:rPr>
          <w:i/>
          <w:color w:val="auto"/>
          <w:sz w:val="28"/>
          <w:szCs w:val="28"/>
        </w:rPr>
        <w:t xml:space="preserve">проведення експерименту, статистична обробка отриманих результатів, формулювання висновків, </w:t>
      </w:r>
      <w:r w:rsidRPr="00E87CD9">
        <w:rPr>
          <w:i/>
          <w:color w:val="auto"/>
          <w:sz w:val="28"/>
          <w:szCs w:val="28"/>
          <w:lang w:eastAsia="ru-RU"/>
        </w:rPr>
        <w:t>аналіз та інтерпретація даних</w:t>
      </w:r>
      <w:r w:rsidRPr="00E87CD9">
        <w:rPr>
          <w:i/>
          <w:color w:val="auto"/>
          <w:sz w:val="28"/>
          <w:szCs w:val="28"/>
        </w:rPr>
        <w:t>,</w:t>
      </w:r>
      <w:r w:rsidRPr="00E87CD9">
        <w:rPr>
          <w:i/>
          <w:color w:val="auto"/>
          <w:sz w:val="28"/>
          <w:szCs w:val="28"/>
          <w:lang w:eastAsia="ru-RU"/>
        </w:rPr>
        <w:t xml:space="preserve"> написання </w:t>
      </w:r>
      <w:r w:rsidRPr="00E87CD9">
        <w:rPr>
          <w:i/>
          <w:color w:val="auto"/>
          <w:sz w:val="28"/>
          <w:szCs w:val="28"/>
        </w:rPr>
        <w:t xml:space="preserve">та </w:t>
      </w:r>
      <w:r w:rsidRPr="00E87CD9">
        <w:rPr>
          <w:i/>
          <w:color w:val="auto"/>
          <w:sz w:val="28"/>
          <w:szCs w:val="28"/>
          <w:lang w:eastAsia="ru-RU"/>
        </w:rPr>
        <w:t>редагування статті</w:t>
      </w:r>
      <w:r w:rsidRPr="00E87CD9">
        <w:rPr>
          <w:rFonts w:eastAsia="Calibri"/>
          <w:color w:val="auto"/>
          <w:sz w:val="28"/>
          <w:szCs w:val="28"/>
        </w:rPr>
        <w:t>).</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Носівець Д.С. Дослідження впливу хондроітину сульфату на прояви остеоартрозу внаслідок гіпотиреозу.</w:t>
      </w:r>
      <w:r w:rsidRPr="00E87CD9">
        <w:rPr>
          <w:rFonts w:eastAsia="Calibri-Bold"/>
          <w:color w:val="auto"/>
          <w:sz w:val="28"/>
          <w:szCs w:val="28"/>
        </w:rPr>
        <w:t>Вісник проблем біології і медицини. 2019. Т. 152, № 3. С.</w:t>
      </w:r>
      <w:r w:rsidRPr="00E87CD9">
        <w:rPr>
          <w:rFonts w:eastAsia="Calibri"/>
          <w:color w:val="auto"/>
          <w:sz w:val="28"/>
          <w:szCs w:val="28"/>
        </w:rPr>
        <w:t xml:space="preserve"> 161-165.</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Носівець Д.С. В</w:t>
      </w:r>
      <w:r w:rsidRPr="00E87CD9">
        <w:rPr>
          <w:color w:val="auto"/>
          <w:sz w:val="28"/>
          <w:szCs w:val="28"/>
        </w:rPr>
        <w:t>плив нестероїдних протизапальних засобів на рівень маркеру CTX II за умов експериментального гіпотиреозу та остеоартрозу. Укр</w:t>
      </w:r>
      <w:r w:rsidR="0020158B" w:rsidRPr="00E87CD9">
        <w:rPr>
          <w:color w:val="auto"/>
          <w:sz w:val="28"/>
          <w:szCs w:val="28"/>
        </w:rPr>
        <w:t>аїнський</w:t>
      </w:r>
      <w:r w:rsidRPr="00E87CD9">
        <w:rPr>
          <w:color w:val="auto"/>
          <w:sz w:val="28"/>
          <w:szCs w:val="28"/>
        </w:rPr>
        <w:t xml:space="preserve"> журн</w:t>
      </w:r>
      <w:r w:rsidR="0020158B" w:rsidRPr="00E87CD9">
        <w:rPr>
          <w:color w:val="auto"/>
          <w:sz w:val="28"/>
          <w:szCs w:val="28"/>
        </w:rPr>
        <w:t>ал</w:t>
      </w:r>
      <w:r w:rsidRPr="00E87CD9">
        <w:rPr>
          <w:color w:val="auto"/>
          <w:sz w:val="28"/>
          <w:szCs w:val="28"/>
        </w:rPr>
        <w:t xml:space="preserve"> медицини, біології та спорту. 2019. Т. 4, № 6 (22). С. 67-73.</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 xml:space="preserve">Носівець Д.С. </w:t>
      </w:r>
      <w:r w:rsidRPr="00E87CD9">
        <w:rPr>
          <w:color w:val="auto"/>
          <w:sz w:val="28"/>
          <w:szCs w:val="28"/>
        </w:rPr>
        <w:t xml:space="preserve">Біофармацевтичний аналіз взаємодії L-тироксину, диклофенаку натрію та хондроітину сульфату, як компонентів фармакотерапії проявів остеоартрозу внаслідок гіпотиреозу. </w:t>
      </w:r>
      <w:r w:rsidRPr="00E87CD9">
        <w:rPr>
          <w:rFonts w:eastAsia="Calibri"/>
          <w:color w:val="auto"/>
          <w:sz w:val="28"/>
          <w:szCs w:val="28"/>
        </w:rPr>
        <w:t>Медичні перспективи. 2019. Т. XXIV, № 3. С.</w:t>
      </w:r>
      <w:r w:rsidRPr="00E87CD9">
        <w:rPr>
          <w:color w:val="auto"/>
          <w:sz w:val="28"/>
          <w:szCs w:val="28"/>
        </w:rPr>
        <w:t xml:space="preserve"> 10-14.</w:t>
      </w:r>
    </w:p>
    <w:p w:rsidR="00B40101" w:rsidRPr="00E87CD9" w:rsidRDefault="00B40101" w:rsidP="00C50740">
      <w:pPr>
        <w:pStyle w:val="a8"/>
        <w:numPr>
          <w:ilvl w:val="0"/>
          <w:numId w:val="8"/>
        </w:numPr>
        <w:suppressAutoHyphens/>
        <w:autoSpaceDN w:val="0"/>
        <w:ind w:left="0" w:firstLine="709"/>
        <w:rPr>
          <w:color w:val="auto"/>
        </w:rPr>
      </w:pPr>
      <w:r w:rsidRPr="00E87CD9">
        <w:rPr>
          <w:rFonts w:eastAsia="Calibri"/>
          <w:color w:val="auto"/>
        </w:rPr>
        <w:t>Носівець Д.С. В</w:t>
      </w:r>
      <w:r w:rsidRPr="00E87CD9">
        <w:rPr>
          <w:color w:val="auto"/>
        </w:rPr>
        <w:t xml:space="preserve">плив нестероїдних протизапальних засобів та парацетамолу на стан кісткової тканини за умов експериментального гіпотиреозу та остеоартрозу. </w:t>
      </w:r>
      <w:r w:rsidRPr="00E87CD9">
        <w:rPr>
          <w:rFonts w:eastAsia="Calibri-Bold"/>
          <w:color w:val="auto"/>
        </w:rPr>
        <w:t>Вісник проблем біології і медицини. 2019. Т. 153, № 4. С. 130-133.</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Носівець Д.С. Показники порогу больової чутливості при експериментальному остеоартрозі та гіпотиреозі. Медичні перспективи. 2019. Т. XXIV, № 4. С.</w:t>
      </w:r>
      <w:r w:rsidRPr="00E87CD9">
        <w:rPr>
          <w:bCs/>
          <w:color w:val="auto"/>
          <w:sz w:val="28"/>
          <w:szCs w:val="28"/>
        </w:rPr>
        <w:t xml:space="preserve"> 25-29.</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 xml:space="preserve">Носівець Д.С. Оцінка впливу хондроітину сульфату на морфометричні параметри колінного суглобу, больовий поріг та біохімічні показники у щурів при експериментальному остеоартрозі. </w:t>
      </w:r>
      <w:r w:rsidRPr="00E87CD9">
        <w:rPr>
          <w:color w:val="auto"/>
          <w:sz w:val="28"/>
          <w:szCs w:val="28"/>
        </w:rPr>
        <w:t>Укр</w:t>
      </w:r>
      <w:r w:rsidR="0020158B" w:rsidRPr="00E87CD9">
        <w:rPr>
          <w:color w:val="auto"/>
          <w:sz w:val="28"/>
          <w:szCs w:val="28"/>
        </w:rPr>
        <w:t>аїнський</w:t>
      </w:r>
      <w:r w:rsidRPr="00E87CD9">
        <w:rPr>
          <w:color w:val="auto"/>
          <w:sz w:val="28"/>
          <w:szCs w:val="28"/>
        </w:rPr>
        <w:t xml:space="preserve"> журн</w:t>
      </w:r>
      <w:r w:rsidR="0020158B" w:rsidRPr="00E87CD9">
        <w:rPr>
          <w:color w:val="auto"/>
          <w:sz w:val="28"/>
          <w:szCs w:val="28"/>
        </w:rPr>
        <w:t>ал</w:t>
      </w:r>
      <w:r w:rsidRPr="00E87CD9">
        <w:rPr>
          <w:color w:val="auto"/>
          <w:sz w:val="28"/>
          <w:szCs w:val="28"/>
        </w:rPr>
        <w:t xml:space="preserve"> медицини, біології та спорту. 2020. Т. 5, № 2 (24). С. 77-83.</w:t>
      </w:r>
    </w:p>
    <w:p w:rsidR="00B40101" w:rsidRPr="00E87CD9" w:rsidRDefault="00B40101" w:rsidP="00C50740">
      <w:pPr>
        <w:pStyle w:val="Default"/>
        <w:numPr>
          <w:ilvl w:val="0"/>
          <w:numId w:val="8"/>
        </w:numPr>
        <w:suppressAutoHyphens w:val="0"/>
        <w:autoSpaceDN w:val="0"/>
        <w:adjustRightInd w:val="0"/>
        <w:ind w:left="0" w:firstLine="709"/>
        <w:jc w:val="both"/>
        <w:rPr>
          <w:rFonts w:cs="Times New Roman"/>
          <w:color w:val="auto"/>
          <w:sz w:val="28"/>
          <w:szCs w:val="28"/>
          <w:lang w:val="uk-UA"/>
        </w:rPr>
      </w:pPr>
      <w:r w:rsidRPr="00E87CD9">
        <w:rPr>
          <w:rFonts w:eastAsia="Calibri" w:cs="Times New Roman"/>
          <w:color w:val="auto"/>
          <w:sz w:val="28"/>
          <w:szCs w:val="28"/>
          <w:lang w:val="uk-UA"/>
        </w:rPr>
        <w:t>Носівець Д.С., Мамчур В.Й., Опришко В.І. Вплив диклофенаку натрію на спонтанну поведінкову активність щурів за умов остеоартрозу при супутньому гіпотиреозі</w:t>
      </w:r>
      <w:r w:rsidRPr="00E87CD9">
        <w:rPr>
          <w:rFonts w:cs="Times New Roman"/>
          <w:color w:val="auto"/>
          <w:sz w:val="28"/>
          <w:szCs w:val="28"/>
          <w:lang w:val="uk-UA"/>
        </w:rPr>
        <w:t xml:space="preserve">. </w:t>
      </w:r>
      <w:r w:rsidRPr="00E87CD9">
        <w:rPr>
          <w:rFonts w:eastAsia="Calibri" w:cs="Times New Roman"/>
          <w:color w:val="auto"/>
          <w:sz w:val="28"/>
          <w:szCs w:val="28"/>
          <w:lang w:val="uk-UA"/>
        </w:rPr>
        <w:t>Запорожский медицинский журнал. 2020. Т. 22, № 1 (118)</w:t>
      </w:r>
      <w:r w:rsidRPr="00E87CD9">
        <w:rPr>
          <w:rFonts w:cs="Times New Roman"/>
          <w:color w:val="auto"/>
          <w:sz w:val="28"/>
          <w:szCs w:val="28"/>
          <w:lang w:val="uk-UA"/>
        </w:rPr>
        <w:t>. С. 107-111. (</w:t>
      </w:r>
      <w:r w:rsidRPr="00E87CD9">
        <w:rPr>
          <w:rFonts w:eastAsia="Georgia" w:cs="Times New Roman"/>
          <w:i/>
          <w:color w:val="auto"/>
          <w:sz w:val="28"/>
          <w:szCs w:val="28"/>
          <w:lang w:val="uk-UA"/>
        </w:rPr>
        <w:t xml:space="preserve">Особистий внесок дисертанта: </w:t>
      </w:r>
      <w:r w:rsidRPr="00E87CD9">
        <w:rPr>
          <w:rFonts w:cs="Times New Roman"/>
          <w:i/>
          <w:color w:val="auto"/>
          <w:sz w:val="28"/>
          <w:szCs w:val="28"/>
          <w:lang w:val="uk-UA"/>
        </w:rPr>
        <w:t>концепція та дизайн дослідження, збір даних, проведення експерименту, статистична обробка отриманих результатів, формулювання висновків, аналіз та інтерпретація даних, написання та редагування статті</w:t>
      </w:r>
      <w:r w:rsidRPr="00E87CD9">
        <w:rPr>
          <w:rFonts w:cs="Times New Roman"/>
          <w:color w:val="auto"/>
          <w:sz w:val="28"/>
          <w:szCs w:val="28"/>
          <w:lang w:val="uk-UA"/>
        </w:rPr>
        <w:t>).</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Calibri"/>
          <w:color w:val="auto"/>
          <w:sz w:val="28"/>
          <w:szCs w:val="28"/>
        </w:rPr>
        <w:t>Носівець Д.С. В</w:t>
      </w:r>
      <w:r w:rsidRPr="00E87CD9">
        <w:rPr>
          <w:color w:val="auto"/>
          <w:sz w:val="28"/>
          <w:szCs w:val="28"/>
        </w:rPr>
        <w:t xml:space="preserve">плив нестероїдних протизапальних засобів та парацетамолу на рівень інтерлейкінів сироватки крові щурів за умов експериментального гіпотиреозу та остеоартрозу. </w:t>
      </w:r>
      <w:r w:rsidRPr="00E87CD9">
        <w:rPr>
          <w:rFonts w:eastAsia="Calibri-Bold"/>
          <w:color w:val="auto"/>
          <w:sz w:val="28"/>
          <w:szCs w:val="28"/>
        </w:rPr>
        <w:t>Вісник проблем біології і медицини. 2020. Т. 155, № 1. С. 175-179</w:t>
      </w:r>
      <w:r w:rsidRPr="00E87CD9">
        <w:rPr>
          <w:color w:val="auto"/>
          <w:sz w:val="28"/>
          <w:szCs w:val="28"/>
        </w:rPr>
        <w:t>.</w:t>
      </w:r>
    </w:p>
    <w:p w:rsidR="00B40101" w:rsidRPr="00E87CD9" w:rsidRDefault="00B40101" w:rsidP="00C50740">
      <w:pPr>
        <w:pStyle w:val="a8"/>
        <w:numPr>
          <w:ilvl w:val="0"/>
          <w:numId w:val="8"/>
        </w:numPr>
        <w:suppressAutoHyphens/>
        <w:autoSpaceDN w:val="0"/>
        <w:ind w:left="0" w:firstLine="709"/>
        <w:rPr>
          <w:color w:val="auto"/>
        </w:rPr>
      </w:pPr>
      <w:r w:rsidRPr="00E87CD9">
        <w:rPr>
          <w:rFonts w:eastAsia="Calibri"/>
          <w:color w:val="auto"/>
        </w:rPr>
        <w:lastRenderedPageBreak/>
        <w:t>Носівець Д.С., Мамчур В.Й., Опришко В.І. Зміни вмісту металопротеїназ сироватки крові щурів під впливом нестероїдних протизапальних засобів і парацетамолу на фоні експериментального остеоартрозу та гіпотиреозу</w:t>
      </w:r>
      <w:r w:rsidRPr="00E87CD9">
        <w:rPr>
          <w:color w:val="auto"/>
        </w:rPr>
        <w:t xml:space="preserve">. </w:t>
      </w:r>
      <w:r w:rsidRPr="00E87CD9">
        <w:rPr>
          <w:rFonts w:eastAsia="Calibri"/>
          <w:color w:val="auto"/>
        </w:rPr>
        <w:t>Фармакологія та лікарська токсикологія</w:t>
      </w:r>
      <w:r w:rsidRPr="00E87CD9">
        <w:rPr>
          <w:color w:val="auto"/>
        </w:rPr>
        <w:t>. 2020. Т. 14, № 1. С. 36-42. (</w:t>
      </w:r>
      <w:r w:rsidRPr="00E87CD9">
        <w:rPr>
          <w:rFonts w:eastAsia="Georgia"/>
          <w:i/>
          <w:color w:val="auto"/>
        </w:rPr>
        <w:t xml:space="preserve">Особистий внесок дисертанта: </w:t>
      </w:r>
      <w:r w:rsidRPr="00E87CD9">
        <w:rPr>
          <w:i/>
          <w:color w:val="auto"/>
          <w:lang w:eastAsia="ru-RU"/>
        </w:rPr>
        <w:t>концепція та дизайн дослідження</w:t>
      </w:r>
      <w:r w:rsidRPr="00E87CD9">
        <w:rPr>
          <w:i/>
          <w:color w:val="auto"/>
        </w:rPr>
        <w:t>,</w:t>
      </w:r>
      <w:r w:rsidRPr="00E87CD9">
        <w:rPr>
          <w:i/>
          <w:color w:val="auto"/>
          <w:lang w:eastAsia="ru-RU"/>
        </w:rPr>
        <w:t xml:space="preserve"> збір даних</w:t>
      </w:r>
      <w:r w:rsidRPr="00E87CD9">
        <w:rPr>
          <w:i/>
          <w:color w:val="auto"/>
        </w:rPr>
        <w:t xml:space="preserve">,проведення експерименту, статистична обробка отриманих результатів, формулювання висновків, </w:t>
      </w:r>
      <w:r w:rsidRPr="00E87CD9">
        <w:rPr>
          <w:i/>
          <w:color w:val="auto"/>
          <w:lang w:eastAsia="ru-RU"/>
        </w:rPr>
        <w:t>аналіз та інтерпретація даних</w:t>
      </w:r>
      <w:r w:rsidRPr="00E87CD9">
        <w:rPr>
          <w:i/>
          <w:color w:val="auto"/>
        </w:rPr>
        <w:t>,</w:t>
      </w:r>
      <w:r w:rsidRPr="00E87CD9">
        <w:rPr>
          <w:i/>
          <w:color w:val="auto"/>
          <w:lang w:eastAsia="ru-RU"/>
        </w:rPr>
        <w:t xml:space="preserve"> написання </w:t>
      </w:r>
      <w:r w:rsidRPr="00E87CD9">
        <w:rPr>
          <w:i/>
          <w:color w:val="auto"/>
        </w:rPr>
        <w:t xml:space="preserve">та </w:t>
      </w:r>
      <w:r w:rsidRPr="00E87CD9">
        <w:rPr>
          <w:i/>
          <w:color w:val="auto"/>
          <w:lang w:eastAsia="ru-RU"/>
        </w:rPr>
        <w:t>редагування статті</w:t>
      </w:r>
      <w:r w:rsidRPr="00E87CD9">
        <w:rPr>
          <w:color w:val="auto"/>
        </w:rPr>
        <w:t>).</w:t>
      </w:r>
    </w:p>
    <w:p w:rsidR="00B40101" w:rsidRPr="00E87CD9" w:rsidRDefault="00B40101" w:rsidP="00C50740">
      <w:pPr>
        <w:pStyle w:val="a8"/>
        <w:numPr>
          <w:ilvl w:val="0"/>
          <w:numId w:val="8"/>
        </w:numPr>
        <w:suppressAutoHyphens/>
        <w:autoSpaceDN w:val="0"/>
        <w:ind w:left="0" w:firstLine="709"/>
        <w:rPr>
          <w:color w:val="auto"/>
        </w:rPr>
      </w:pPr>
      <w:r w:rsidRPr="00E87CD9">
        <w:rPr>
          <w:rFonts w:eastAsia="Calibri"/>
          <w:color w:val="auto"/>
        </w:rPr>
        <w:t>Носівець Д.С. Вплив нестероїдних протизапальних засобів та парацетамолу на рівень С-реактивного протеїну сироватки крові щурів при експериментальних еквівалентах гіпотиреозу та остеоартрозу</w:t>
      </w:r>
      <w:r w:rsidR="0078208F" w:rsidRPr="00E87CD9">
        <w:rPr>
          <w:color w:val="auto"/>
        </w:rPr>
        <w:t>. Український</w:t>
      </w:r>
      <w:r w:rsidRPr="00E87CD9">
        <w:rPr>
          <w:color w:val="auto"/>
        </w:rPr>
        <w:t xml:space="preserve"> журн</w:t>
      </w:r>
      <w:r w:rsidR="0078208F" w:rsidRPr="00E87CD9">
        <w:rPr>
          <w:color w:val="auto"/>
        </w:rPr>
        <w:t>ал</w:t>
      </w:r>
      <w:r w:rsidRPr="00E87CD9">
        <w:rPr>
          <w:color w:val="auto"/>
        </w:rPr>
        <w:t xml:space="preserve"> медицини, біології та спорту.</w:t>
      </w:r>
      <w:r w:rsidRPr="00E87CD9">
        <w:rPr>
          <w:rFonts w:eastAsia="Calibri"/>
          <w:color w:val="auto"/>
        </w:rPr>
        <w:t xml:space="preserve"> 2020. </w:t>
      </w:r>
      <w:r w:rsidRPr="00E87CD9">
        <w:rPr>
          <w:color w:val="auto"/>
        </w:rPr>
        <w:t>Т. 5, № 6 (28). С. 79-83.</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 xml:space="preserve">Мамчур В.Й., Носівець Д.С. Факторы эффективности и безопасности при клиническом применении готового лекарственного препарата хондроитина сульфата. Neurology and neurosurgery. Eastern Europe. 2020. Т. 10, № 1. С. 150-156. </w:t>
      </w:r>
      <w:r w:rsidRPr="00E87CD9">
        <w:rPr>
          <w:rFonts w:eastAsia="PragmaticaC"/>
          <w:color w:val="auto"/>
          <w:sz w:val="28"/>
          <w:szCs w:val="28"/>
        </w:rPr>
        <w:t>(</w:t>
      </w:r>
      <w:r w:rsidRPr="00E87CD9">
        <w:rPr>
          <w:rFonts w:eastAsia="Georgia"/>
          <w:i/>
          <w:color w:val="auto"/>
          <w:sz w:val="28"/>
          <w:szCs w:val="28"/>
        </w:rPr>
        <w:t xml:space="preserve">Особистий внесок дисертанта: </w:t>
      </w:r>
      <w:r w:rsidRPr="00E87CD9">
        <w:rPr>
          <w:rFonts w:eastAsia="PragmaticaC"/>
          <w:i/>
          <w:color w:val="auto"/>
          <w:sz w:val="28"/>
          <w:szCs w:val="28"/>
        </w:rPr>
        <w:t xml:space="preserve">аналіз літературних джерел та отриманих результатів, </w:t>
      </w:r>
      <w:r w:rsidRPr="00E87CD9">
        <w:rPr>
          <w:i/>
          <w:color w:val="auto"/>
          <w:sz w:val="28"/>
          <w:szCs w:val="28"/>
          <w:lang w:eastAsia="ru-RU"/>
        </w:rPr>
        <w:t>збір даних</w:t>
      </w:r>
      <w:r w:rsidRPr="00E87CD9">
        <w:rPr>
          <w:i/>
          <w:color w:val="auto"/>
          <w:sz w:val="28"/>
          <w:szCs w:val="28"/>
        </w:rPr>
        <w:t xml:space="preserve">, формулювання висновків, </w:t>
      </w:r>
      <w:r w:rsidRPr="00E87CD9">
        <w:rPr>
          <w:i/>
          <w:color w:val="auto"/>
          <w:sz w:val="28"/>
          <w:szCs w:val="28"/>
          <w:lang w:eastAsia="ru-RU"/>
        </w:rPr>
        <w:t>аналіз та інтерпретація даних</w:t>
      </w:r>
      <w:r w:rsidRPr="00E87CD9">
        <w:rPr>
          <w:i/>
          <w:color w:val="auto"/>
          <w:sz w:val="28"/>
          <w:szCs w:val="28"/>
        </w:rPr>
        <w:t>,</w:t>
      </w:r>
      <w:r w:rsidRPr="00E87CD9">
        <w:rPr>
          <w:i/>
          <w:color w:val="auto"/>
          <w:sz w:val="28"/>
          <w:szCs w:val="28"/>
          <w:lang w:eastAsia="ru-RU"/>
        </w:rPr>
        <w:t xml:space="preserve"> написання </w:t>
      </w:r>
      <w:r w:rsidRPr="00E87CD9">
        <w:rPr>
          <w:i/>
          <w:color w:val="auto"/>
          <w:sz w:val="28"/>
          <w:szCs w:val="28"/>
        </w:rPr>
        <w:t xml:space="preserve">та </w:t>
      </w:r>
      <w:r w:rsidRPr="00E87CD9">
        <w:rPr>
          <w:i/>
          <w:color w:val="auto"/>
          <w:sz w:val="28"/>
          <w:szCs w:val="28"/>
          <w:lang w:eastAsia="ru-RU"/>
        </w:rPr>
        <w:t>редагування статті</w:t>
      </w:r>
      <w:r w:rsidRPr="00E87CD9">
        <w:rPr>
          <w:rFonts w:eastAsia="PragmaticaC"/>
          <w:color w:val="auto"/>
          <w:sz w:val="28"/>
          <w:szCs w:val="28"/>
        </w:rPr>
        <w:t>).</w:t>
      </w:r>
    </w:p>
    <w:p w:rsidR="00B40101" w:rsidRPr="00E87CD9" w:rsidRDefault="00B40101" w:rsidP="00C50740">
      <w:pPr>
        <w:pStyle w:val="a8"/>
        <w:numPr>
          <w:ilvl w:val="0"/>
          <w:numId w:val="8"/>
        </w:numPr>
        <w:shd w:val="clear" w:color="auto" w:fill="FFFFFF"/>
        <w:suppressAutoHyphens/>
        <w:autoSpaceDN w:val="0"/>
        <w:ind w:left="0" w:firstLine="709"/>
        <w:rPr>
          <w:color w:val="auto"/>
        </w:rPr>
      </w:pPr>
      <w:r w:rsidRPr="00E87CD9">
        <w:rPr>
          <w:rFonts w:eastAsia="Calibri"/>
          <w:color w:val="auto"/>
        </w:rPr>
        <w:t>Носівець Д.С. Ф</w:t>
      </w:r>
      <w:r w:rsidRPr="00E87CD9">
        <w:rPr>
          <w:color w:val="auto"/>
        </w:rPr>
        <w:t>актор некрозу пухлин, як маркер визначення фармакологічної активності нестероїдних протизапальних засобів та парацетамолу при гіпотиреозі та остеоартрозі. Укр</w:t>
      </w:r>
      <w:r w:rsidR="0078208F" w:rsidRPr="00E87CD9">
        <w:rPr>
          <w:color w:val="auto"/>
        </w:rPr>
        <w:t>аїнський</w:t>
      </w:r>
      <w:r w:rsidRPr="00E87CD9">
        <w:rPr>
          <w:color w:val="auto"/>
        </w:rPr>
        <w:t xml:space="preserve"> журн</w:t>
      </w:r>
      <w:r w:rsidR="0078208F" w:rsidRPr="00E87CD9">
        <w:rPr>
          <w:color w:val="auto"/>
        </w:rPr>
        <w:t>ал</w:t>
      </w:r>
      <w:r w:rsidRPr="00E87CD9">
        <w:rPr>
          <w:color w:val="auto"/>
        </w:rPr>
        <w:t xml:space="preserve"> медицини, біології та спорту. 2020. Т. 5, № 3 (25). С. 129-134.</w:t>
      </w:r>
    </w:p>
    <w:p w:rsidR="00B40101" w:rsidRPr="00E87CD9" w:rsidRDefault="00B40101" w:rsidP="00C50740">
      <w:pPr>
        <w:pStyle w:val="a8"/>
        <w:numPr>
          <w:ilvl w:val="0"/>
          <w:numId w:val="8"/>
        </w:numPr>
        <w:shd w:val="clear" w:color="auto" w:fill="FFFFFF"/>
        <w:suppressAutoHyphens/>
        <w:autoSpaceDN w:val="0"/>
        <w:ind w:left="0" w:firstLine="709"/>
        <w:rPr>
          <w:rStyle w:val="af5"/>
          <w:b w:val="0"/>
          <w:bCs w:val="0"/>
          <w:color w:val="auto"/>
          <w:lang w:eastAsia="ru-RU"/>
        </w:rPr>
      </w:pPr>
      <w:r w:rsidRPr="00E87CD9">
        <w:rPr>
          <w:rFonts w:eastAsia="Calibri"/>
          <w:color w:val="auto"/>
          <w:kern w:val="2"/>
        </w:rPr>
        <w:t xml:space="preserve">Nosivets D.S. Changes in the level of interleukin-8 in the blood serum of rats with experimental osteoarthritis and hypothyroidism. </w:t>
      </w:r>
      <w:r w:rsidRPr="00E87CD9">
        <w:rPr>
          <w:rStyle w:val="af5"/>
          <w:rFonts w:eastAsia="Calibri"/>
          <w:b w:val="0"/>
          <w:color w:val="auto"/>
        </w:rPr>
        <w:t>Ukr. Biochem. J. 2020. Vol. 92, N 6. Р. 178-182.</w:t>
      </w:r>
    </w:p>
    <w:p w:rsidR="00B40101" w:rsidRPr="00E87CD9" w:rsidRDefault="00B40101" w:rsidP="00C50740">
      <w:pPr>
        <w:pStyle w:val="a8"/>
        <w:numPr>
          <w:ilvl w:val="0"/>
          <w:numId w:val="8"/>
        </w:numPr>
        <w:shd w:val="clear" w:color="auto" w:fill="FFFFFF"/>
        <w:suppressAutoHyphens/>
        <w:autoSpaceDN w:val="0"/>
        <w:ind w:left="0" w:firstLine="709"/>
        <w:rPr>
          <w:bCs/>
          <w:color w:val="auto"/>
        </w:rPr>
      </w:pPr>
      <w:r w:rsidRPr="00E87CD9">
        <w:rPr>
          <w:color w:val="auto"/>
        </w:rPr>
        <w:t xml:space="preserve">Носівець Д.С., Мамчур В.Й., Опришко В.І. </w:t>
      </w:r>
      <w:r w:rsidRPr="00E87CD9">
        <w:rPr>
          <w:color w:val="auto"/>
          <w:lang w:eastAsia="ru-RU"/>
        </w:rPr>
        <w:t>Аналгетична активність нестероїдних протизапальних засобів і парацетамолу за експериментального остеоартрозу та гіпотиреозу</w:t>
      </w:r>
      <w:r w:rsidRPr="00E87CD9">
        <w:rPr>
          <w:color w:val="auto"/>
        </w:rPr>
        <w:t>. Фармакологія та лікарська токсикологія. 2020. Т. 14, № 6. С. 413-421. (</w:t>
      </w:r>
      <w:r w:rsidRPr="00E87CD9">
        <w:rPr>
          <w:rFonts w:eastAsia="Georgia"/>
          <w:i/>
          <w:color w:val="auto"/>
        </w:rPr>
        <w:t xml:space="preserve">Особистий внесок дисертанта: </w:t>
      </w:r>
      <w:r w:rsidRPr="00E87CD9">
        <w:rPr>
          <w:i/>
          <w:color w:val="auto"/>
          <w:lang w:eastAsia="ru-RU"/>
        </w:rPr>
        <w:t>концепція та дизайн дослідження</w:t>
      </w:r>
      <w:r w:rsidRPr="00E87CD9">
        <w:rPr>
          <w:i/>
          <w:color w:val="auto"/>
        </w:rPr>
        <w:t>,</w:t>
      </w:r>
      <w:r w:rsidRPr="00E87CD9">
        <w:rPr>
          <w:i/>
          <w:color w:val="auto"/>
          <w:lang w:eastAsia="ru-RU"/>
        </w:rPr>
        <w:t xml:space="preserve"> збір даних</w:t>
      </w:r>
      <w:r w:rsidRPr="00E87CD9">
        <w:rPr>
          <w:i/>
          <w:color w:val="auto"/>
        </w:rPr>
        <w:t xml:space="preserve">,проведення експерименту, статистична обробка отриманих результатів, формулювання висновків, </w:t>
      </w:r>
      <w:r w:rsidRPr="00E87CD9">
        <w:rPr>
          <w:i/>
          <w:color w:val="auto"/>
          <w:lang w:eastAsia="ru-RU"/>
        </w:rPr>
        <w:t>аналіз та інтерпретація даних</w:t>
      </w:r>
      <w:r w:rsidRPr="00E87CD9">
        <w:rPr>
          <w:i/>
          <w:color w:val="auto"/>
        </w:rPr>
        <w:t>,</w:t>
      </w:r>
      <w:r w:rsidRPr="00E87CD9">
        <w:rPr>
          <w:i/>
          <w:color w:val="auto"/>
          <w:lang w:eastAsia="ru-RU"/>
        </w:rPr>
        <w:t xml:space="preserve"> написання </w:t>
      </w:r>
      <w:r w:rsidRPr="00E87CD9">
        <w:rPr>
          <w:i/>
          <w:color w:val="auto"/>
        </w:rPr>
        <w:t xml:space="preserve">та </w:t>
      </w:r>
      <w:r w:rsidRPr="00E87CD9">
        <w:rPr>
          <w:i/>
          <w:color w:val="auto"/>
          <w:lang w:eastAsia="ru-RU"/>
        </w:rPr>
        <w:t>редагування статті</w:t>
      </w:r>
      <w:r w:rsidRPr="00E87CD9">
        <w:rPr>
          <w:color w:val="auto"/>
        </w:rPr>
        <w:t>).</w:t>
      </w:r>
    </w:p>
    <w:p w:rsidR="00B40101" w:rsidRPr="00E87CD9" w:rsidRDefault="00B40101" w:rsidP="00C50740">
      <w:pPr>
        <w:pStyle w:val="western"/>
        <w:numPr>
          <w:ilvl w:val="0"/>
          <w:numId w:val="8"/>
        </w:numPr>
        <w:suppressAutoHyphens/>
        <w:spacing w:before="0" w:after="0" w:line="240" w:lineRule="auto"/>
        <w:ind w:left="0"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Носівець Д.С. Дослідження рівня кісткової лужної фосфатази сироватки крові щурів при експериментальних еквівалентах гіпотиреозу та остеоартрозу на фоні призначення </w:t>
      </w:r>
      <w:r w:rsidR="0031398E" w:rsidRPr="00E87CD9">
        <w:rPr>
          <w:rFonts w:ascii="Times New Roman" w:hAnsi="Times New Roman" w:cs="Times New Roman"/>
          <w:color w:val="auto"/>
          <w:sz w:val="28"/>
          <w:szCs w:val="28"/>
          <w:lang w:eastAsia="ru-RU"/>
        </w:rPr>
        <w:t>нестероїдних протизапальних засобів</w:t>
      </w:r>
      <w:r w:rsidRPr="00E87CD9">
        <w:rPr>
          <w:rFonts w:ascii="Times New Roman" w:hAnsi="Times New Roman" w:cs="Times New Roman"/>
          <w:color w:val="auto"/>
          <w:sz w:val="28"/>
          <w:szCs w:val="28"/>
        </w:rPr>
        <w:t xml:space="preserve"> та парацетамолу. Укр</w:t>
      </w:r>
      <w:r w:rsidR="002C20D3" w:rsidRPr="00E87CD9">
        <w:rPr>
          <w:rFonts w:ascii="Times New Roman" w:hAnsi="Times New Roman" w:cs="Times New Roman"/>
          <w:color w:val="auto"/>
          <w:sz w:val="28"/>
          <w:szCs w:val="28"/>
        </w:rPr>
        <w:t>аїнський</w:t>
      </w:r>
      <w:r w:rsidRPr="00E87CD9">
        <w:rPr>
          <w:rFonts w:ascii="Times New Roman" w:hAnsi="Times New Roman" w:cs="Times New Roman"/>
          <w:color w:val="auto"/>
          <w:sz w:val="28"/>
          <w:szCs w:val="28"/>
        </w:rPr>
        <w:t xml:space="preserve"> журн</w:t>
      </w:r>
      <w:r w:rsidR="002C20D3" w:rsidRPr="00E87CD9">
        <w:rPr>
          <w:rFonts w:ascii="Times New Roman" w:hAnsi="Times New Roman" w:cs="Times New Roman"/>
          <w:color w:val="auto"/>
          <w:sz w:val="28"/>
          <w:szCs w:val="28"/>
        </w:rPr>
        <w:t>ал</w:t>
      </w:r>
      <w:r w:rsidRPr="00E87CD9">
        <w:rPr>
          <w:rFonts w:ascii="Times New Roman" w:hAnsi="Times New Roman" w:cs="Times New Roman"/>
          <w:color w:val="auto"/>
          <w:sz w:val="28"/>
          <w:szCs w:val="28"/>
        </w:rPr>
        <w:t xml:space="preserve"> медицини, біології та спорту. 2021. Т. 6, № 1 (29). С. 32-36.</w:t>
      </w:r>
    </w:p>
    <w:p w:rsidR="00B40101" w:rsidRPr="00E87CD9" w:rsidRDefault="00B40101" w:rsidP="00C50740">
      <w:pPr>
        <w:pStyle w:val="western"/>
        <w:numPr>
          <w:ilvl w:val="0"/>
          <w:numId w:val="8"/>
        </w:numPr>
        <w:suppressAutoHyphens/>
        <w:spacing w:before="0" w:after="0" w:line="240" w:lineRule="auto"/>
        <w:ind w:left="0" w:firstLine="709"/>
        <w:jc w:val="both"/>
        <w:rPr>
          <w:rFonts w:ascii="Times New Roman" w:hAnsi="Times New Roman" w:cs="Times New Roman"/>
          <w:color w:val="auto"/>
          <w:sz w:val="28"/>
          <w:szCs w:val="28"/>
        </w:rPr>
      </w:pPr>
      <w:r w:rsidRPr="00E87CD9">
        <w:rPr>
          <w:rFonts w:ascii="Times New Roman" w:hAnsi="Times New Roman" w:cs="Times New Roman"/>
          <w:color w:val="auto"/>
          <w:sz w:val="28"/>
          <w:szCs w:val="28"/>
        </w:rPr>
        <w:t xml:space="preserve">Носівець Д.С. </w:t>
      </w:r>
      <w:r w:rsidRPr="00E87CD9">
        <w:rPr>
          <w:rFonts w:ascii="Times New Roman" w:eastAsia="Calibri-Bold" w:hAnsi="Times New Roman" w:cs="Times New Roman"/>
          <w:color w:val="auto"/>
          <w:sz w:val="28"/>
          <w:szCs w:val="28"/>
        </w:rPr>
        <w:t xml:space="preserve">Дослідження впливу комбінації </w:t>
      </w:r>
      <w:r w:rsidRPr="00E87CD9">
        <w:rPr>
          <w:rFonts w:ascii="Times New Roman" w:hAnsi="Times New Roman" w:cs="Times New Roman"/>
          <w:color w:val="auto"/>
          <w:sz w:val="28"/>
          <w:szCs w:val="28"/>
        </w:rPr>
        <w:t>L-тироксину, диклофенаку натрі</w:t>
      </w:r>
      <w:r w:rsidR="0005710A" w:rsidRPr="00E87CD9">
        <w:rPr>
          <w:rFonts w:ascii="Times New Roman" w:hAnsi="Times New Roman" w:cs="Times New Roman"/>
          <w:color w:val="auto"/>
          <w:sz w:val="28"/>
          <w:szCs w:val="28"/>
        </w:rPr>
        <w:t>ю</w:t>
      </w:r>
      <w:r w:rsidRPr="00E87CD9">
        <w:rPr>
          <w:rFonts w:ascii="Times New Roman" w:hAnsi="Times New Roman" w:cs="Times New Roman"/>
          <w:color w:val="auto"/>
          <w:sz w:val="28"/>
          <w:szCs w:val="28"/>
        </w:rPr>
        <w:t xml:space="preserve"> та хондроїтину сульфату на </w:t>
      </w:r>
      <w:r w:rsidR="0005710A" w:rsidRPr="00E87CD9">
        <w:rPr>
          <w:rFonts w:ascii="Times New Roman" w:hAnsi="Times New Roman" w:cs="Times New Roman"/>
          <w:color w:val="auto"/>
          <w:sz w:val="28"/>
          <w:szCs w:val="28"/>
        </w:rPr>
        <w:t>біль при</w:t>
      </w:r>
      <w:r w:rsidRPr="00E87CD9">
        <w:rPr>
          <w:rFonts w:ascii="Times New Roman" w:hAnsi="Times New Roman" w:cs="Times New Roman"/>
          <w:color w:val="auto"/>
          <w:sz w:val="28"/>
          <w:szCs w:val="28"/>
        </w:rPr>
        <w:t xml:space="preserve"> остеоартроз</w:t>
      </w:r>
      <w:r w:rsidR="0005710A" w:rsidRPr="00E87CD9">
        <w:rPr>
          <w:rFonts w:ascii="Times New Roman" w:hAnsi="Times New Roman" w:cs="Times New Roman"/>
          <w:color w:val="auto"/>
          <w:sz w:val="28"/>
          <w:szCs w:val="28"/>
        </w:rPr>
        <w:t>і</w:t>
      </w:r>
      <w:r w:rsidRPr="00E87CD9">
        <w:rPr>
          <w:rFonts w:ascii="Times New Roman" w:hAnsi="Times New Roman" w:cs="Times New Roman"/>
          <w:color w:val="auto"/>
          <w:sz w:val="28"/>
          <w:szCs w:val="28"/>
        </w:rPr>
        <w:t xml:space="preserve"> внаслідок гіпотиреозу. </w:t>
      </w:r>
      <w:r w:rsidRPr="00E87CD9">
        <w:rPr>
          <w:rFonts w:ascii="Times New Roman" w:eastAsia="Calibri-Bold" w:hAnsi="Times New Roman" w:cs="Times New Roman"/>
          <w:color w:val="auto"/>
          <w:sz w:val="28"/>
          <w:szCs w:val="28"/>
        </w:rPr>
        <w:t>Вісник проблем біології і медицини. 2021. Т.</w:t>
      </w:r>
      <w:r w:rsidR="00DA7803" w:rsidRPr="00E87CD9">
        <w:rPr>
          <w:rFonts w:ascii="Times New Roman" w:eastAsia="Calibri-Bold" w:hAnsi="Times New Roman" w:cs="Times New Roman"/>
          <w:color w:val="auto"/>
          <w:sz w:val="28"/>
          <w:szCs w:val="28"/>
        </w:rPr>
        <w:t xml:space="preserve"> 159</w:t>
      </w:r>
      <w:r w:rsidRPr="00E87CD9">
        <w:rPr>
          <w:rFonts w:ascii="Times New Roman" w:eastAsia="Calibri-Bold" w:hAnsi="Times New Roman" w:cs="Times New Roman"/>
          <w:color w:val="auto"/>
          <w:sz w:val="28"/>
          <w:szCs w:val="28"/>
        </w:rPr>
        <w:t xml:space="preserve">, № 1. С. </w:t>
      </w:r>
      <w:r w:rsidR="0005710A" w:rsidRPr="00E87CD9">
        <w:rPr>
          <w:rFonts w:ascii="Times New Roman" w:eastAsia="Calibri-Bold" w:hAnsi="Times New Roman" w:cs="Times New Roman"/>
          <w:color w:val="auto"/>
          <w:sz w:val="28"/>
          <w:szCs w:val="28"/>
        </w:rPr>
        <w:t>97</w:t>
      </w:r>
      <w:r w:rsidRPr="00E87CD9">
        <w:rPr>
          <w:rFonts w:ascii="Times New Roman" w:eastAsia="Calibri-Bold" w:hAnsi="Times New Roman" w:cs="Times New Roman"/>
          <w:color w:val="auto"/>
          <w:sz w:val="28"/>
          <w:szCs w:val="28"/>
        </w:rPr>
        <w:t>-</w:t>
      </w:r>
      <w:r w:rsidR="0005710A" w:rsidRPr="00E87CD9">
        <w:rPr>
          <w:rFonts w:ascii="Times New Roman" w:eastAsia="Calibri-Bold" w:hAnsi="Times New Roman" w:cs="Times New Roman"/>
          <w:color w:val="auto"/>
          <w:sz w:val="28"/>
          <w:szCs w:val="28"/>
        </w:rPr>
        <w:t>101</w:t>
      </w:r>
      <w:r w:rsidRPr="00E87CD9">
        <w:rPr>
          <w:rFonts w:ascii="Times New Roman" w:eastAsia="Calibri-Bold" w:hAnsi="Times New Roman" w:cs="Times New Roman"/>
          <w:color w:val="auto"/>
          <w:sz w:val="28"/>
          <w:szCs w:val="28"/>
        </w:rPr>
        <w:t>.</w:t>
      </w:r>
    </w:p>
    <w:p w:rsidR="00B40101" w:rsidRPr="00E87CD9" w:rsidRDefault="00B40101" w:rsidP="00C50740">
      <w:pPr>
        <w:pStyle w:val="a8"/>
        <w:widowControl w:val="0"/>
        <w:numPr>
          <w:ilvl w:val="0"/>
          <w:numId w:val="8"/>
        </w:numPr>
        <w:suppressAutoHyphens/>
        <w:autoSpaceDE w:val="0"/>
        <w:autoSpaceDN w:val="0"/>
        <w:adjustRightInd w:val="0"/>
        <w:ind w:left="0" w:firstLine="709"/>
        <w:rPr>
          <w:color w:val="auto"/>
          <w:lang w:eastAsia="ru-RU"/>
        </w:rPr>
      </w:pPr>
      <w:r w:rsidRPr="00E87CD9">
        <w:rPr>
          <w:color w:val="auto"/>
        </w:rPr>
        <w:t xml:space="preserve">Nosivets D., Montell E., Opryshko V. </w:t>
      </w:r>
      <w:r w:rsidRPr="00E87CD9">
        <w:rPr>
          <w:rFonts w:eastAsiaTheme="minorHAnsi"/>
          <w:color w:val="auto"/>
        </w:rPr>
        <w:t>Histological changes following the administration of two different chondroitin sulfate products in experimental osteoarthritis models in rats</w:t>
      </w:r>
      <w:r w:rsidRPr="00E87CD9">
        <w:rPr>
          <w:bCs/>
          <w:color w:val="auto"/>
          <w:lang w:eastAsia="ru-RU"/>
        </w:rPr>
        <w:t xml:space="preserve">. </w:t>
      </w:r>
      <w:r w:rsidRPr="00E87CD9">
        <w:rPr>
          <w:iCs/>
          <w:color w:val="auto"/>
          <w:lang w:eastAsia="ru-RU"/>
        </w:rPr>
        <w:t xml:space="preserve">European Journal of Clinical and Experimental Medicine. 2021. </w:t>
      </w:r>
      <w:r w:rsidRPr="00E87CD9">
        <w:rPr>
          <w:color w:val="auto"/>
          <w:lang w:eastAsia="ru-RU"/>
        </w:rPr>
        <w:t xml:space="preserve">Vol. 19 (1). Р. 23-32. </w:t>
      </w:r>
      <w:r w:rsidRPr="00E87CD9">
        <w:rPr>
          <w:rFonts w:eastAsia="PragmaticaC"/>
          <w:color w:val="auto"/>
        </w:rPr>
        <w:t>(</w:t>
      </w:r>
      <w:r w:rsidRPr="00E87CD9">
        <w:rPr>
          <w:rFonts w:eastAsia="Georgia"/>
          <w:i/>
          <w:color w:val="auto"/>
        </w:rPr>
        <w:t xml:space="preserve">Особистий внесок дисертанта: </w:t>
      </w:r>
      <w:r w:rsidRPr="00E87CD9">
        <w:rPr>
          <w:i/>
          <w:color w:val="auto"/>
        </w:rPr>
        <w:t xml:space="preserve">вибір </w:t>
      </w:r>
      <w:r w:rsidRPr="00E87CD9">
        <w:rPr>
          <w:i/>
          <w:color w:val="auto"/>
        </w:rPr>
        <w:lastRenderedPageBreak/>
        <w:t xml:space="preserve">концепції та задач роботи, </w:t>
      </w:r>
      <w:r w:rsidRPr="00E87CD9">
        <w:rPr>
          <w:i/>
          <w:color w:val="auto"/>
          <w:lang w:eastAsia="ru-RU"/>
        </w:rPr>
        <w:t>збір даних</w:t>
      </w:r>
      <w:r w:rsidRPr="00E87CD9">
        <w:rPr>
          <w:i/>
          <w:color w:val="auto"/>
        </w:rPr>
        <w:t xml:space="preserve">, проведення експерименту, отримання, аналіз та інтерпретація даних, статистичний аналіз, </w:t>
      </w:r>
      <w:r w:rsidRPr="00E87CD9">
        <w:rPr>
          <w:i/>
          <w:color w:val="auto"/>
          <w:lang w:eastAsia="ru-RU"/>
        </w:rPr>
        <w:t xml:space="preserve">написання </w:t>
      </w:r>
      <w:r w:rsidRPr="00E87CD9">
        <w:rPr>
          <w:i/>
          <w:color w:val="auto"/>
        </w:rPr>
        <w:t xml:space="preserve">та </w:t>
      </w:r>
      <w:r w:rsidRPr="00E87CD9">
        <w:rPr>
          <w:i/>
          <w:color w:val="auto"/>
          <w:lang w:eastAsia="ru-RU"/>
        </w:rPr>
        <w:t>редагування статті</w:t>
      </w:r>
      <w:r w:rsidRPr="00E87CD9">
        <w:rPr>
          <w:i/>
          <w:color w:val="auto"/>
        </w:rPr>
        <w:t xml:space="preserve">, </w:t>
      </w:r>
      <w:r w:rsidRPr="00E87CD9">
        <w:rPr>
          <w:rFonts w:eastAsia="PragmaticaC"/>
          <w:i/>
          <w:color w:val="auto"/>
        </w:rPr>
        <w:t>аналіз літературних джерел</w:t>
      </w:r>
      <w:r w:rsidRPr="00E87CD9">
        <w:rPr>
          <w:rFonts w:eastAsia="PragmaticaC"/>
          <w:color w:val="auto"/>
        </w:rPr>
        <w:t>).</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Рациональная фармакотерапия болевого синдрома</w:t>
      </w:r>
      <w:r w:rsidRPr="00E87CD9">
        <w:rPr>
          <w:color w:val="auto"/>
          <w:sz w:val="28"/>
          <w:szCs w:val="28"/>
          <w:shd w:val="clear" w:color="auto" w:fill="FFFFFF"/>
        </w:rPr>
        <w:t xml:space="preserve"> различного генеза комбинированными нестероидными противовоспалительными средствами. Монография / </w:t>
      </w:r>
      <w:r w:rsidRPr="00E87CD9">
        <w:rPr>
          <w:color w:val="auto"/>
          <w:sz w:val="28"/>
          <w:szCs w:val="28"/>
        </w:rPr>
        <w:t xml:space="preserve">В.И. Мамчур, Д.С. Носивец, С.В. Налетов, В.Г. Гурьянов, В.И. Паламарчук, А.Ж. Оголь. - </w:t>
      </w:r>
      <w:r w:rsidRPr="00E87CD9">
        <w:rPr>
          <w:color w:val="auto"/>
          <w:sz w:val="28"/>
          <w:szCs w:val="28"/>
          <w:shd w:val="clear" w:color="auto" w:fill="FFFFFF"/>
        </w:rPr>
        <w:t>Киев: ЧАО “Випол”, 2017. - 48 с. (</w:t>
      </w:r>
      <w:r w:rsidRPr="00E87CD9">
        <w:rPr>
          <w:rFonts w:eastAsia="Georgia"/>
          <w:i/>
          <w:color w:val="auto"/>
          <w:sz w:val="28"/>
          <w:szCs w:val="28"/>
        </w:rPr>
        <w:t xml:space="preserve">Особистий внесок дисертанта: </w:t>
      </w:r>
      <w:r w:rsidRPr="00E87CD9">
        <w:rPr>
          <w:i/>
          <w:color w:val="auto"/>
          <w:sz w:val="28"/>
          <w:szCs w:val="28"/>
          <w:lang w:eastAsia="ru-RU"/>
        </w:rPr>
        <w:t>концепція та дизайн дослідження</w:t>
      </w:r>
      <w:r w:rsidRPr="00E87CD9">
        <w:rPr>
          <w:i/>
          <w:color w:val="auto"/>
          <w:sz w:val="28"/>
          <w:szCs w:val="28"/>
        </w:rPr>
        <w:t>,</w:t>
      </w:r>
      <w:r w:rsidRPr="00E87CD9">
        <w:rPr>
          <w:i/>
          <w:color w:val="auto"/>
          <w:sz w:val="28"/>
          <w:szCs w:val="28"/>
          <w:lang w:eastAsia="ru-RU"/>
        </w:rPr>
        <w:t xml:space="preserve"> збір даних</w:t>
      </w:r>
      <w:r w:rsidRPr="00E87CD9">
        <w:rPr>
          <w:i/>
          <w:color w:val="auto"/>
          <w:sz w:val="28"/>
          <w:szCs w:val="28"/>
        </w:rPr>
        <w:t xml:space="preserve">,проведення експерименту, статистична обробка отриманих результатів, формулювання висновків, </w:t>
      </w:r>
      <w:r w:rsidRPr="00E87CD9">
        <w:rPr>
          <w:i/>
          <w:color w:val="auto"/>
          <w:sz w:val="28"/>
          <w:szCs w:val="28"/>
          <w:lang w:eastAsia="ru-RU"/>
        </w:rPr>
        <w:t>аналіз та інтерпретація даних</w:t>
      </w:r>
      <w:r w:rsidRPr="00E87CD9">
        <w:rPr>
          <w:i/>
          <w:color w:val="auto"/>
          <w:sz w:val="28"/>
          <w:szCs w:val="28"/>
        </w:rPr>
        <w:t>,</w:t>
      </w:r>
      <w:r w:rsidRPr="00E87CD9">
        <w:rPr>
          <w:i/>
          <w:color w:val="auto"/>
          <w:sz w:val="28"/>
          <w:szCs w:val="28"/>
          <w:lang w:eastAsia="ru-RU"/>
        </w:rPr>
        <w:t xml:space="preserve"> написання </w:t>
      </w:r>
      <w:r w:rsidRPr="00E87CD9">
        <w:rPr>
          <w:i/>
          <w:color w:val="auto"/>
          <w:sz w:val="28"/>
          <w:szCs w:val="28"/>
        </w:rPr>
        <w:t xml:space="preserve">та </w:t>
      </w:r>
      <w:r w:rsidRPr="00E87CD9">
        <w:rPr>
          <w:i/>
          <w:color w:val="auto"/>
          <w:sz w:val="28"/>
          <w:szCs w:val="28"/>
          <w:lang w:eastAsia="ru-RU"/>
        </w:rPr>
        <w:t>редагування рукопису</w:t>
      </w:r>
      <w:r w:rsidRPr="00E87CD9">
        <w:rPr>
          <w:color w:val="auto"/>
          <w:sz w:val="28"/>
          <w:szCs w:val="28"/>
          <w:shd w:val="clear" w:color="auto" w:fill="FFFFFF"/>
        </w:rPr>
        <w:t>).</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bCs/>
          <w:color w:val="auto"/>
          <w:sz w:val="28"/>
          <w:szCs w:val="28"/>
          <w:shd w:val="clear" w:color="auto" w:fill="FFFFFF"/>
        </w:rPr>
        <w:t xml:space="preserve">Патент України на корисну модель UA 137435 U, </w:t>
      </w:r>
      <w:r w:rsidRPr="00E87CD9">
        <w:rPr>
          <w:rFonts w:eastAsia="Arial"/>
          <w:bCs/>
          <w:color w:val="auto"/>
          <w:sz w:val="28"/>
          <w:szCs w:val="28"/>
        </w:rPr>
        <w:t xml:space="preserve">МПК (2019.01), </w:t>
      </w:r>
      <w:r w:rsidRPr="00E87CD9">
        <w:rPr>
          <w:rFonts w:eastAsia="Arial"/>
          <w:color w:val="auto"/>
          <w:sz w:val="28"/>
          <w:szCs w:val="28"/>
        </w:rPr>
        <w:t>A61K 31/00, A61P 5/00, A61P 19/00, A61P 29/00.</w:t>
      </w:r>
      <w:r w:rsidRPr="00E87CD9">
        <w:rPr>
          <w:bCs/>
          <w:color w:val="auto"/>
          <w:sz w:val="28"/>
          <w:szCs w:val="28"/>
          <w:shd w:val="clear" w:color="auto" w:fill="FFFFFF"/>
        </w:rPr>
        <w:t xml:space="preserve"> Спосіб лікування остеоартрозу </w:t>
      </w:r>
      <w:r w:rsidRPr="00E87CD9">
        <w:rPr>
          <w:color w:val="auto"/>
          <w:sz w:val="28"/>
          <w:szCs w:val="28"/>
          <w:shd w:val="clear" w:color="auto" w:fill="FFFFFF"/>
        </w:rPr>
        <w:t xml:space="preserve">при супутньому гіпотиреозі / Д.С. Носівець, В.І. Опришко, В.Й. Мамчур - </w:t>
      </w:r>
      <w:r w:rsidRPr="00E87CD9">
        <w:rPr>
          <w:rFonts w:eastAsia="Arial"/>
          <w:color w:val="auto"/>
          <w:sz w:val="28"/>
          <w:szCs w:val="28"/>
          <w:shd w:val="clear" w:color="auto" w:fill="FFFFFF"/>
        </w:rPr>
        <w:t xml:space="preserve">u201902425; </w:t>
      </w:r>
      <w:r w:rsidRPr="00E87CD9">
        <w:rPr>
          <w:color w:val="auto"/>
          <w:sz w:val="28"/>
          <w:szCs w:val="28"/>
          <w:shd w:val="clear" w:color="auto" w:fill="FFFFFF"/>
        </w:rPr>
        <w:t>заявл. 12.03.2019; опубл. 25.10.2019. - Бюл. № 20/2019.</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Носівець Д.С., Мамчур В.Й., Опришко В.І. Ефективне застосування комбінованих нестероїдних протизапальних засобів при лікуванні остеоартрозу та супутньому гіпотиреозі. Інформаційний лист про нововведення в системі охорони здоров’я. - 2019, № 65. - 4 с.</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Носівець Д.С., Мамчур В.Й., Опришко В.І. Особливості використання хондроітину сульфату при лікуванні остеоартрозу на тлі гіпотиреозу. Інформаційний лист про нововведення в системі охорони здоров’я. - 2019, № 66. - 4 с.</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Носівець Д.С., Мамчур В.Й., Опришко В.І. Раціональне застосування нестероїдних протизапальних засобів та хондропротекторів при лікуванні остеоартрозу на фоні гіпотиреозу. Інформаційний лист про нововведення в системі охорони здоров’я. - 2019, № 67. - 4 с.</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bCs/>
          <w:color w:val="auto"/>
          <w:sz w:val="28"/>
          <w:szCs w:val="28"/>
        </w:rPr>
        <w:t xml:space="preserve">Раціональне лікування остеоартрозу суглобів при супутньому гіпотиреозі / Носівець Д.С., Мамчур В.Й., Опришко В.І., Жилюк В.І. - </w:t>
      </w:r>
      <w:r w:rsidRPr="00E87CD9">
        <w:rPr>
          <w:color w:val="auto"/>
          <w:sz w:val="28"/>
          <w:szCs w:val="28"/>
        </w:rPr>
        <w:t xml:space="preserve">Перелік наукової (науково-технічної) продукції, призначеної для впровадження досягнень медичної науки у сферу охорони </w:t>
      </w:r>
      <w:r w:rsidR="00595E2D" w:rsidRPr="00E87CD9">
        <w:rPr>
          <w:color w:val="auto"/>
          <w:sz w:val="28"/>
          <w:szCs w:val="28"/>
        </w:rPr>
        <w:t>здоров’я</w:t>
      </w:r>
      <w:r w:rsidRPr="00E87CD9">
        <w:rPr>
          <w:color w:val="auto"/>
          <w:sz w:val="28"/>
          <w:szCs w:val="28"/>
        </w:rPr>
        <w:t>. Випуск 6 - К., 2020. Реєстр № 276/6/19. С. 240-241. - 363 с.</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bCs/>
          <w:color w:val="auto"/>
          <w:sz w:val="28"/>
          <w:szCs w:val="28"/>
        </w:rPr>
        <w:t xml:space="preserve">Носивец Д.С. </w:t>
      </w:r>
      <w:r w:rsidRPr="00E87CD9">
        <w:rPr>
          <w:rFonts w:eastAsia="PragmaticaBook-Reg"/>
          <w:color w:val="auto"/>
          <w:sz w:val="28"/>
          <w:szCs w:val="28"/>
        </w:rPr>
        <w:t>Применение хондропротекторов при патологии хрящевой ткани.</w:t>
      </w:r>
      <w:r w:rsidRPr="00E87CD9">
        <w:rPr>
          <w:color w:val="auto"/>
          <w:sz w:val="28"/>
          <w:szCs w:val="28"/>
        </w:rPr>
        <w:t xml:space="preserve"> Мат</w:t>
      </w:r>
      <w:r w:rsidR="003359FC" w:rsidRPr="00E87CD9">
        <w:rPr>
          <w:color w:val="auto"/>
          <w:sz w:val="28"/>
          <w:szCs w:val="28"/>
        </w:rPr>
        <w:t>ериалы</w:t>
      </w:r>
      <w:r w:rsidRPr="00E87CD9">
        <w:rPr>
          <w:color w:val="auto"/>
          <w:sz w:val="28"/>
          <w:szCs w:val="28"/>
        </w:rPr>
        <w:t xml:space="preserve"> XIII Северо-Западной науч</w:t>
      </w:r>
      <w:r w:rsidR="003359FC" w:rsidRPr="00E87CD9">
        <w:rPr>
          <w:color w:val="auto"/>
          <w:sz w:val="28"/>
          <w:szCs w:val="28"/>
        </w:rPr>
        <w:t>но</w:t>
      </w:r>
      <w:r w:rsidRPr="00E87CD9">
        <w:rPr>
          <w:color w:val="auto"/>
          <w:sz w:val="28"/>
          <w:szCs w:val="28"/>
        </w:rPr>
        <w:t>-практич</w:t>
      </w:r>
      <w:r w:rsidR="003359FC" w:rsidRPr="00E87CD9">
        <w:rPr>
          <w:color w:val="auto"/>
          <w:sz w:val="28"/>
          <w:szCs w:val="28"/>
        </w:rPr>
        <w:t>еской</w:t>
      </w:r>
      <w:r w:rsidRPr="00E87CD9">
        <w:rPr>
          <w:color w:val="auto"/>
          <w:sz w:val="28"/>
          <w:szCs w:val="28"/>
        </w:rPr>
        <w:t xml:space="preserve"> конф</w:t>
      </w:r>
      <w:r w:rsidR="003359FC" w:rsidRPr="00E87CD9">
        <w:rPr>
          <w:color w:val="auto"/>
          <w:sz w:val="28"/>
          <w:szCs w:val="28"/>
        </w:rPr>
        <w:t>еренции</w:t>
      </w:r>
      <w:r w:rsidRPr="00E87CD9">
        <w:rPr>
          <w:color w:val="auto"/>
          <w:sz w:val="28"/>
          <w:szCs w:val="28"/>
        </w:rPr>
        <w:t xml:space="preserve"> по ревматологии. СПб., 2013. С. 80-82.</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 xml:space="preserve">Носивец Д.С., Мамчур В.И., Старовойтова Н.А. Особенности фармакотерапии дегенеративно-дистрофических заболеваний опорно-двигательного аппарата при коморбидных состояниях. </w:t>
      </w:r>
      <w:r w:rsidRPr="00E87CD9">
        <w:rPr>
          <w:rFonts w:eastAsia="PetersburgC-Italic"/>
          <w:color w:val="auto"/>
          <w:sz w:val="28"/>
          <w:szCs w:val="28"/>
        </w:rPr>
        <w:t>Мат</w:t>
      </w:r>
      <w:r w:rsidR="003359FC" w:rsidRPr="00E87CD9">
        <w:rPr>
          <w:rFonts w:eastAsia="PetersburgC-Italic"/>
          <w:color w:val="auto"/>
          <w:sz w:val="28"/>
          <w:szCs w:val="28"/>
        </w:rPr>
        <w:t>ериалы</w:t>
      </w:r>
      <w:r w:rsidRPr="00E87CD9">
        <w:rPr>
          <w:rFonts w:eastAsia="PetersburgC-Italic"/>
          <w:color w:val="auto"/>
          <w:sz w:val="28"/>
          <w:szCs w:val="28"/>
        </w:rPr>
        <w:t xml:space="preserve"> XVІ Междунар</w:t>
      </w:r>
      <w:r w:rsidR="003359FC" w:rsidRPr="00E87CD9">
        <w:rPr>
          <w:rFonts w:eastAsia="PetersburgC-Italic"/>
          <w:color w:val="auto"/>
          <w:sz w:val="28"/>
          <w:szCs w:val="28"/>
        </w:rPr>
        <w:t>одной</w:t>
      </w:r>
      <w:r w:rsidRPr="00E87CD9">
        <w:rPr>
          <w:rFonts w:eastAsia="PetersburgC-Italic"/>
          <w:color w:val="auto"/>
          <w:sz w:val="28"/>
          <w:szCs w:val="28"/>
        </w:rPr>
        <w:t xml:space="preserve"> конф</w:t>
      </w:r>
      <w:r w:rsidR="003359FC" w:rsidRPr="00E87CD9">
        <w:rPr>
          <w:rFonts w:eastAsia="PetersburgC-Italic"/>
          <w:color w:val="auto"/>
          <w:sz w:val="28"/>
          <w:szCs w:val="28"/>
        </w:rPr>
        <w:t>еренции</w:t>
      </w:r>
      <w:r w:rsidRPr="00E87CD9">
        <w:rPr>
          <w:color w:val="auto"/>
          <w:sz w:val="28"/>
          <w:szCs w:val="28"/>
        </w:rPr>
        <w:t>«</w:t>
      </w:r>
      <w:r w:rsidRPr="00E87CD9">
        <w:rPr>
          <w:rFonts w:eastAsia="PetersburgC-Italic"/>
          <w:color w:val="auto"/>
          <w:sz w:val="28"/>
          <w:szCs w:val="28"/>
        </w:rPr>
        <w:t>Современные стратегия и тактика в неврологии</w:t>
      </w:r>
      <w:r w:rsidRPr="00E87CD9">
        <w:rPr>
          <w:rFonts w:eastAsia="PetersburgC-Italic"/>
          <w:bCs/>
          <w:color w:val="auto"/>
          <w:sz w:val="28"/>
          <w:szCs w:val="28"/>
        </w:rPr>
        <w:t>» (</w:t>
      </w:r>
      <w:r w:rsidRPr="00E87CD9">
        <w:rPr>
          <w:bCs/>
          <w:iCs/>
          <w:color w:val="auto"/>
          <w:sz w:val="28"/>
          <w:szCs w:val="28"/>
          <w:lang w:eastAsia="ru-RU"/>
        </w:rPr>
        <w:t>23-25 апреля 2014 г</w:t>
      </w:r>
      <w:r w:rsidRPr="00E87CD9">
        <w:rPr>
          <w:rFonts w:eastAsia="PetersburgC-Italic"/>
          <w:color w:val="auto"/>
          <w:sz w:val="28"/>
          <w:szCs w:val="28"/>
        </w:rPr>
        <w:t xml:space="preserve">.). </w:t>
      </w:r>
      <w:r w:rsidRPr="00E87CD9">
        <w:rPr>
          <w:color w:val="auto"/>
          <w:sz w:val="28"/>
          <w:szCs w:val="28"/>
        </w:rPr>
        <w:t>Трускавец, 2014. С. 173-176.</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rFonts w:eastAsia="Arial"/>
          <w:bCs/>
          <w:color w:val="auto"/>
          <w:sz w:val="28"/>
          <w:szCs w:val="28"/>
        </w:rPr>
        <w:t>Носівець Д.С. Патологія кісткової та хрящової тканин на фоні тиреоїдної дисфункції.</w:t>
      </w:r>
      <w:r w:rsidRPr="00E87CD9">
        <w:rPr>
          <w:color w:val="auto"/>
          <w:sz w:val="28"/>
          <w:szCs w:val="28"/>
        </w:rPr>
        <w:t>Мат</w:t>
      </w:r>
      <w:r w:rsidR="003359FC" w:rsidRPr="00E87CD9">
        <w:rPr>
          <w:color w:val="auto"/>
          <w:sz w:val="28"/>
          <w:szCs w:val="28"/>
        </w:rPr>
        <w:t>еріали</w:t>
      </w:r>
      <w:r w:rsidRPr="00E87CD9">
        <w:rPr>
          <w:color w:val="auto"/>
          <w:sz w:val="28"/>
          <w:szCs w:val="28"/>
        </w:rPr>
        <w:t xml:space="preserve"> ХІX Міжнар</w:t>
      </w:r>
      <w:r w:rsidR="006270F5" w:rsidRPr="00E87CD9">
        <w:rPr>
          <w:color w:val="auto"/>
          <w:sz w:val="28"/>
          <w:szCs w:val="28"/>
        </w:rPr>
        <w:t>одного</w:t>
      </w:r>
      <w:r w:rsidRPr="00E87CD9">
        <w:rPr>
          <w:color w:val="auto"/>
          <w:sz w:val="28"/>
          <w:szCs w:val="28"/>
        </w:rPr>
        <w:t xml:space="preserve"> медичного конгресу студентів та молодих вчених (27-29 квітня 2015 р.). Тернопіль: Укрмедкнига, 2015. С. 298.</w:t>
      </w:r>
    </w:p>
    <w:p w:rsidR="00B40101" w:rsidRPr="00E87CD9" w:rsidRDefault="00B40101" w:rsidP="00C50740">
      <w:pPr>
        <w:pStyle w:val="Default"/>
        <w:numPr>
          <w:ilvl w:val="0"/>
          <w:numId w:val="8"/>
        </w:numPr>
        <w:suppressAutoHyphens w:val="0"/>
        <w:autoSpaceDE w:val="0"/>
        <w:autoSpaceDN w:val="0"/>
        <w:adjustRightInd w:val="0"/>
        <w:ind w:left="0" w:firstLine="709"/>
        <w:jc w:val="both"/>
        <w:rPr>
          <w:rFonts w:cs="Times New Roman"/>
          <w:b/>
          <w:color w:val="auto"/>
          <w:sz w:val="28"/>
          <w:szCs w:val="28"/>
          <w:lang w:val="uk-UA"/>
        </w:rPr>
      </w:pPr>
      <w:r w:rsidRPr="00E87CD9">
        <w:rPr>
          <w:rFonts w:cs="Times New Roman"/>
          <w:bCs/>
          <w:color w:val="auto"/>
          <w:sz w:val="28"/>
          <w:szCs w:val="28"/>
          <w:lang w:val="uk-UA"/>
        </w:rPr>
        <w:lastRenderedPageBreak/>
        <w:t xml:space="preserve">Носивец Д.С. </w:t>
      </w:r>
      <w:r w:rsidRPr="00E87CD9">
        <w:rPr>
          <w:rFonts w:cs="Times New Roman"/>
          <w:color w:val="auto"/>
          <w:sz w:val="28"/>
          <w:szCs w:val="28"/>
          <w:lang w:val="uk-UA"/>
        </w:rPr>
        <w:t xml:space="preserve">Возможные механизмы анальгезии при фармакотерапии хондропротекторами. </w:t>
      </w:r>
      <w:r w:rsidRPr="00E87CD9">
        <w:rPr>
          <w:rStyle w:val="af5"/>
          <w:rFonts w:eastAsia="Tahoma" w:cs="Times New Roman"/>
          <w:b w:val="0"/>
          <w:color w:val="auto"/>
          <w:sz w:val="28"/>
          <w:szCs w:val="28"/>
          <w:lang w:val="uk-UA"/>
        </w:rPr>
        <w:t>Мат</w:t>
      </w:r>
      <w:r w:rsidR="006270F5" w:rsidRPr="00E87CD9">
        <w:rPr>
          <w:rStyle w:val="af5"/>
          <w:rFonts w:eastAsia="Tahoma" w:cs="Times New Roman"/>
          <w:b w:val="0"/>
          <w:color w:val="auto"/>
          <w:sz w:val="28"/>
          <w:szCs w:val="28"/>
          <w:lang w:val="uk-UA"/>
        </w:rPr>
        <w:t>еріали</w:t>
      </w:r>
      <w:r w:rsidRPr="00E87CD9">
        <w:rPr>
          <w:rStyle w:val="A20"/>
          <w:rFonts w:ascii="Times New Roman" w:hAnsi="Times New Roman" w:cs="Times New Roman"/>
          <w:b w:val="0"/>
          <w:color w:val="auto"/>
          <w:sz w:val="28"/>
          <w:szCs w:val="28"/>
          <w:lang w:val="uk-UA"/>
        </w:rPr>
        <w:t>наук</w:t>
      </w:r>
      <w:r w:rsidR="006270F5" w:rsidRPr="00E87CD9">
        <w:rPr>
          <w:rStyle w:val="A20"/>
          <w:rFonts w:ascii="Times New Roman" w:hAnsi="Times New Roman" w:cs="Times New Roman"/>
          <w:b w:val="0"/>
          <w:color w:val="auto"/>
          <w:sz w:val="28"/>
          <w:szCs w:val="28"/>
          <w:lang w:val="uk-UA"/>
        </w:rPr>
        <w:t>ово</w:t>
      </w:r>
      <w:r w:rsidRPr="00E87CD9">
        <w:rPr>
          <w:rStyle w:val="A20"/>
          <w:rFonts w:ascii="Times New Roman" w:hAnsi="Times New Roman" w:cs="Times New Roman"/>
          <w:b w:val="0"/>
          <w:color w:val="auto"/>
          <w:sz w:val="28"/>
          <w:szCs w:val="28"/>
          <w:lang w:val="uk-UA"/>
        </w:rPr>
        <w:t>-практ</w:t>
      </w:r>
      <w:r w:rsidR="006270F5" w:rsidRPr="00E87CD9">
        <w:rPr>
          <w:rStyle w:val="A20"/>
          <w:rFonts w:ascii="Times New Roman" w:hAnsi="Times New Roman" w:cs="Times New Roman"/>
          <w:b w:val="0"/>
          <w:color w:val="auto"/>
          <w:sz w:val="28"/>
          <w:szCs w:val="28"/>
          <w:lang w:val="uk-UA"/>
        </w:rPr>
        <w:t>ичної</w:t>
      </w:r>
      <w:r w:rsidRPr="00E87CD9">
        <w:rPr>
          <w:rStyle w:val="A20"/>
          <w:rFonts w:ascii="Times New Roman" w:hAnsi="Times New Roman" w:cs="Times New Roman"/>
          <w:b w:val="0"/>
          <w:color w:val="auto"/>
          <w:sz w:val="28"/>
          <w:szCs w:val="28"/>
          <w:lang w:val="uk-UA"/>
        </w:rPr>
        <w:t xml:space="preserve"> конф</w:t>
      </w:r>
      <w:r w:rsidR="006270F5" w:rsidRPr="00E87CD9">
        <w:rPr>
          <w:rStyle w:val="A20"/>
          <w:rFonts w:ascii="Times New Roman" w:hAnsi="Times New Roman" w:cs="Times New Roman"/>
          <w:b w:val="0"/>
          <w:color w:val="auto"/>
          <w:sz w:val="28"/>
          <w:szCs w:val="28"/>
          <w:lang w:val="uk-UA"/>
        </w:rPr>
        <w:t>еренції</w:t>
      </w:r>
      <w:r w:rsidRPr="00E87CD9">
        <w:rPr>
          <w:rFonts w:eastAsia="TimesNewRoman" w:cs="Times New Roman"/>
          <w:color w:val="auto"/>
          <w:sz w:val="28"/>
          <w:szCs w:val="28"/>
          <w:lang w:val="uk-UA"/>
        </w:rPr>
        <w:t>з міжнар</w:t>
      </w:r>
      <w:r w:rsidR="006270F5" w:rsidRPr="00E87CD9">
        <w:rPr>
          <w:rFonts w:eastAsia="TimesNewRoman" w:cs="Times New Roman"/>
          <w:color w:val="auto"/>
          <w:sz w:val="28"/>
          <w:szCs w:val="28"/>
          <w:lang w:val="uk-UA"/>
        </w:rPr>
        <w:t>одною</w:t>
      </w:r>
      <w:r w:rsidRPr="00E87CD9">
        <w:rPr>
          <w:rFonts w:eastAsia="TimesNewRoman" w:cs="Times New Roman"/>
          <w:color w:val="auto"/>
          <w:sz w:val="28"/>
          <w:szCs w:val="28"/>
          <w:lang w:val="uk-UA"/>
        </w:rPr>
        <w:t>участю</w:t>
      </w:r>
      <w:r w:rsidRPr="00E87CD9">
        <w:rPr>
          <w:rStyle w:val="A20"/>
          <w:rFonts w:ascii="Times New Roman" w:hAnsi="Times New Roman" w:cs="Times New Roman"/>
          <w:b w:val="0"/>
          <w:color w:val="auto"/>
          <w:sz w:val="28"/>
          <w:szCs w:val="28"/>
          <w:lang w:val="uk-UA"/>
        </w:rPr>
        <w:t>«Філатовські читання - 2016» (</w:t>
      </w:r>
      <w:r w:rsidRPr="00E87CD9">
        <w:rPr>
          <w:rFonts w:cs="Times New Roman"/>
          <w:color w:val="auto"/>
          <w:sz w:val="28"/>
          <w:szCs w:val="28"/>
          <w:lang w:val="uk-UA"/>
        </w:rPr>
        <w:t>19-20 травня 2016 р.</w:t>
      </w:r>
      <w:r w:rsidRPr="00E87CD9">
        <w:rPr>
          <w:rStyle w:val="A20"/>
          <w:rFonts w:ascii="Times New Roman" w:hAnsi="Times New Roman" w:cs="Times New Roman"/>
          <w:b w:val="0"/>
          <w:color w:val="auto"/>
          <w:sz w:val="28"/>
          <w:szCs w:val="28"/>
          <w:lang w:val="uk-UA"/>
        </w:rPr>
        <w:t>). Одеса, 2016. С. 222.</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bCs/>
          <w:color w:val="auto"/>
          <w:sz w:val="28"/>
          <w:szCs w:val="28"/>
        </w:rPr>
        <w:t xml:space="preserve">Носивец Д.С. </w:t>
      </w:r>
      <w:r w:rsidRPr="00E87CD9">
        <w:rPr>
          <w:color w:val="auto"/>
          <w:sz w:val="28"/>
          <w:szCs w:val="28"/>
        </w:rPr>
        <w:t xml:space="preserve">Изменение болевого порога у крыс при экспериментальном остеоартрозе после введения хондроитина сульфата. </w:t>
      </w:r>
      <w:r w:rsidR="006270F5" w:rsidRPr="00E87CD9">
        <w:rPr>
          <w:rStyle w:val="af5"/>
          <w:rFonts w:eastAsia="Tahoma"/>
          <w:b w:val="0"/>
          <w:color w:val="auto"/>
          <w:sz w:val="28"/>
          <w:szCs w:val="28"/>
        </w:rPr>
        <w:t>Матеріали</w:t>
      </w:r>
      <w:r w:rsidRPr="00E87CD9">
        <w:rPr>
          <w:rFonts w:eastAsia="Calibri"/>
          <w:color w:val="auto"/>
          <w:sz w:val="28"/>
          <w:szCs w:val="28"/>
        </w:rPr>
        <w:t xml:space="preserve"> V Нац</w:t>
      </w:r>
      <w:r w:rsidR="006270F5" w:rsidRPr="00E87CD9">
        <w:rPr>
          <w:rFonts w:eastAsia="Calibri"/>
          <w:color w:val="auto"/>
          <w:sz w:val="28"/>
          <w:szCs w:val="28"/>
        </w:rPr>
        <w:t>іонального</w:t>
      </w:r>
      <w:r w:rsidRPr="00E87CD9">
        <w:rPr>
          <w:rFonts w:eastAsia="Calibri"/>
          <w:color w:val="auto"/>
          <w:sz w:val="28"/>
          <w:szCs w:val="28"/>
        </w:rPr>
        <w:t xml:space="preserve"> з’їзду фармакологів України (18-20 жовтня 2017 р.). Запоріжжя, 2017. С. 101.</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bCs/>
          <w:color w:val="auto"/>
          <w:sz w:val="28"/>
          <w:szCs w:val="28"/>
        </w:rPr>
        <w:t xml:space="preserve">Носивец Д.С. </w:t>
      </w:r>
      <w:r w:rsidRPr="00E87CD9">
        <w:rPr>
          <w:rFonts w:eastAsia="Calibri"/>
          <w:color w:val="auto"/>
          <w:sz w:val="28"/>
          <w:szCs w:val="28"/>
        </w:rPr>
        <w:t xml:space="preserve">Механизмы анальгезии при фармакотерапии хондропротекторами. </w:t>
      </w:r>
      <w:r w:rsidRPr="00E87CD9">
        <w:rPr>
          <w:rFonts w:eastAsia="Calibri-Bold"/>
          <w:color w:val="auto"/>
          <w:sz w:val="28"/>
          <w:szCs w:val="28"/>
        </w:rPr>
        <w:t>I Междунар</w:t>
      </w:r>
      <w:r w:rsidR="006270F5" w:rsidRPr="00E87CD9">
        <w:rPr>
          <w:rFonts w:eastAsia="Calibri-Bold"/>
          <w:color w:val="auto"/>
          <w:sz w:val="28"/>
          <w:szCs w:val="28"/>
        </w:rPr>
        <w:t>одный</w:t>
      </w:r>
      <w:r w:rsidRPr="00E87CD9">
        <w:rPr>
          <w:rFonts w:eastAsia="Calibri-Bold"/>
          <w:color w:val="auto"/>
          <w:sz w:val="28"/>
          <w:szCs w:val="28"/>
        </w:rPr>
        <w:t xml:space="preserve"> конгресс </w:t>
      </w:r>
      <w:r w:rsidRPr="00E87CD9">
        <w:rPr>
          <w:rFonts w:eastAsia="Calibri"/>
          <w:color w:val="auto"/>
          <w:sz w:val="28"/>
          <w:szCs w:val="28"/>
        </w:rPr>
        <w:t>ассоциации ревмоортопедов (28-29 сентября 2017 г.): тезисы докладов конгресса / редкол</w:t>
      </w:r>
      <w:r w:rsidR="009F177E" w:rsidRPr="00E87CD9">
        <w:rPr>
          <w:rFonts w:eastAsia="Calibri"/>
          <w:color w:val="auto"/>
          <w:sz w:val="28"/>
          <w:szCs w:val="28"/>
        </w:rPr>
        <w:t>легия</w:t>
      </w:r>
      <w:r w:rsidRPr="00E87CD9">
        <w:rPr>
          <w:rFonts w:eastAsia="Calibri"/>
          <w:color w:val="auto"/>
          <w:sz w:val="28"/>
          <w:szCs w:val="28"/>
        </w:rPr>
        <w:t>: М. А. Макаров [и др.]; Ассоциация ревмоортопедов. Воронеж: Издательско-полиграфический центр «Научная книга», 2017. С. 37-38.</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bCs/>
          <w:color w:val="auto"/>
          <w:sz w:val="28"/>
          <w:szCs w:val="28"/>
        </w:rPr>
        <w:t xml:space="preserve">Носивец Д.С. Морфометрическая оценка состояния суставов крыс при экспериментальном остеоартрозе на фоне введения хондроитина сульфата. </w:t>
      </w:r>
      <w:r w:rsidRPr="00E87CD9">
        <w:rPr>
          <w:rFonts w:eastAsia="TimesNewRomanPS-BoldMT"/>
          <w:color w:val="auto"/>
          <w:sz w:val="28"/>
          <w:szCs w:val="28"/>
        </w:rPr>
        <w:t xml:space="preserve">Сучасні аспекти клінічної фармакології на тлі досягнень доказової медицини / </w:t>
      </w:r>
      <w:r w:rsidR="006270F5" w:rsidRPr="00E87CD9">
        <w:rPr>
          <w:rStyle w:val="af5"/>
          <w:rFonts w:eastAsia="Tahoma"/>
          <w:b w:val="0"/>
          <w:color w:val="auto"/>
          <w:sz w:val="28"/>
          <w:szCs w:val="28"/>
        </w:rPr>
        <w:t>Матеріали</w:t>
      </w:r>
      <w:r w:rsidRPr="00E87CD9">
        <w:rPr>
          <w:rFonts w:eastAsia="TimesNewRomanPSMT"/>
          <w:color w:val="auto"/>
          <w:sz w:val="28"/>
          <w:szCs w:val="28"/>
        </w:rPr>
        <w:t xml:space="preserve"> ІХ Всеукраїнської наук</w:t>
      </w:r>
      <w:r w:rsidR="006270F5" w:rsidRPr="00E87CD9">
        <w:rPr>
          <w:rFonts w:eastAsia="TimesNewRomanPSMT"/>
          <w:color w:val="auto"/>
          <w:sz w:val="28"/>
          <w:szCs w:val="28"/>
        </w:rPr>
        <w:t>ово</w:t>
      </w:r>
      <w:r w:rsidRPr="00E87CD9">
        <w:rPr>
          <w:rFonts w:eastAsia="TimesNewRomanPSMT"/>
          <w:color w:val="auto"/>
          <w:sz w:val="28"/>
          <w:szCs w:val="28"/>
        </w:rPr>
        <w:t>-практ</w:t>
      </w:r>
      <w:r w:rsidR="006270F5" w:rsidRPr="00E87CD9">
        <w:rPr>
          <w:rFonts w:eastAsia="TimesNewRomanPSMT"/>
          <w:color w:val="auto"/>
          <w:sz w:val="28"/>
          <w:szCs w:val="28"/>
        </w:rPr>
        <w:t>ичної</w:t>
      </w:r>
      <w:r w:rsidRPr="00E87CD9">
        <w:rPr>
          <w:rFonts w:eastAsia="TimesNewRomanPSMT"/>
          <w:color w:val="auto"/>
          <w:sz w:val="28"/>
          <w:szCs w:val="28"/>
        </w:rPr>
        <w:t xml:space="preserve"> конф</w:t>
      </w:r>
      <w:r w:rsidR="006270F5" w:rsidRPr="00E87CD9">
        <w:rPr>
          <w:rFonts w:eastAsia="TimesNewRomanPSMT"/>
          <w:color w:val="auto"/>
          <w:sz w:val="28"/>
          <w:szCs w:val="28"/>
        </w:rPr>
        <w:t>еренції</w:t>
      </w:r>
      <w:r w:rsidRPr="00E87CD9">
        <w:rPr>
          <w:rFonts w:eastAsia="TimesNewRomanPSMT"/>
          <w:color w:val="auto"/>
          <w:sz w:val="28"/>
          <w:szCs w:val="28"/>
        </w:rPr>
        <w:t xml:space="preserve"> з міжнародною участю, 16-17 листопада </w:t>
      </w:r>
      <w:r w:rsidRPr="00E87CD9">
        <w:rPr>
          <w:rFonts w:eastAsia="TimesNewRomanPSMT"/>
          <w:bCs/>
          <w:color w:val="auto"/>
          <w:sz w:val="28"/>
          <w:szCs w:val="28"/>
        </w:rPr>
        <w:t>2017 року. – Вінниця, Нілан-ЛТД, 2017. С. 76-83.</w:t>
      </w:r>
    </w:p>
    <w:p w:rsidR="00B40101" w:rsidRPr="00E87CD9" w:rsidRDefault="00B40101" w:rsidP="00C50740">
      <w:pPr>
        <w:numPr>
          <w:ilvl w:val="0"/>
          <w:numId w:val="8"/>
        </w:numPr>
        <w:suppressAutoHyphens/>
        <w:autoSpaceDN w:val="0"/>
        <w:ind w:left="0" w:firstLine="709"/>
        <w:jc w:val="both"/>
        <w:rPr>
          <w:b/>
          <w:color w:val="auto"/>
          <w:sz w:val="28"/>
          <w:szCs w:val="28"/>
        </w:rPr>
      </w:pPr>
      <w:r w:rsidRPr="00E87CD9">
        <w:rPr>
          <w:rFonts w:eastAsia="Arial"/>
          <w:color w:val="auto"/>
          <w:sz w:val="28"/>
          <w:szCs w:val="28"/>
        </w:rPr>
        <w:t xml:space="preserve">Носівець Д.С. </w:t>
      </w:r>
      <w:r w:rsidRPr="00E87CD9">
        <w:rPr>
          <w:rFonts w:eastAsia="TimesNewRomanPSMT"/>
          <w:color w:val="auto"/>
          <w:sz w:val="28"/>
          <w:szCs w:val="28"/>
        </w:rPr>
        <w:t>Фармакологічні аспекти використання нестероїдних протизапальних засобів при остеоартрозі за умов гіпотиреозу.</w:t>
      </w:r>
      <w:r w:rsidRPr="00E87CD9">
        <w:rPr>
          <w:rStyle w:val="af5"/>
          <w:b w:val="0"/>
          <w:color w:val="auto"/>
          <w:sz w:val="28"/>
          <w:szCs w:val="28"/>
        </w:rPr>
        <w:t>International scientific and practical conference «Prospects for the development of medicine in EU countries and Ukraine» Wloclawek, Republic of Poland, December 21–22, 2018. Wloclawek: Izdevnieciba «Baltija Publishing», 2018. Р. 44-46.</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Носивец Д.С. Биохимические маркеры при патологии хрящевой и костной ткани. Современные аспекты травматологии, ортопедии и реконструктивной хирургии: Мат</w:t>
      </w:r>
      <w:r w:rsidR="006270F5" w:rsidRPr="00E87CD9">
        <w:rPr>
          <w:color w:val="auto"/>
          <w:sz w:val="28"/>
          <w:szCs w:val="28"/>
        </w:rPr>
        <w:t>ериалы</w:t>
      </w:r>
      <w:r w:rsidRPr="00E87CD9">
        <w:rPr>
          <w:color w:val="auto"/>
          <w:sz w:val="28"/>
          <w:szCs w:val="28"/>
        </w:rPr>
        <w:t xml:space="preserve"> научно-практич</w:t>
      </w:r>
      <w:r w:rsidR="006270F5" w:rsidRPr="00E87CD9">
        <w:rPr>
          <w:color w:val="auto"/>
          <w:sz w:val="28"/>
          <w:szCs w:val="28"/>
        </w:rPr>
        <w:t>еской</w:t>
      </w:r>
      <w:r w:rsidRPr="00E87CD9">
        <w:rPr>
          <w:color w:val="auto"/>
          <w:sz w:val="28"/>
          <w:szCs w:val="28"/>
        </w:rPr>
        <w:t xml:space="preserve"> конф</w:t>
      </w:r>
      <w:r w:rsidR="006270F5" w:rsidRPr="00E87CD9">
        <w:rPr>
          <w:color w:val="auto"/>
          <w:sz w:val="28"/>
          <w:szCs w:val="28"/>
        </w:rPr>
        <w:t>еренции</w:t>
      </w:r>
      <w:r w:rsidRPr="00E87CD9">
        <w:rPr>
          <w:color w:val="auto"/>
          <w:sz w:val="28"/>
          <w:szCs w:val="28"/>
        </w:rPr>
        <w:t xml:space="preserve"> с международным участием, посвященной 90-летию со дня рождения профессора Н.П. Демичева (г. Астрахань, 22-23 марта 2019 г.) / под ред. д-ра мед. наук С.В. Дианова и д-ра мед. наук А.Н. Тарасова. – Астрахань: Изд-во Астраханского государственного медицинского университета, 2019. С. 90-92.</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 xml:space="preserve">Носівець Д.С. Корекція проявів остеоартрозу при супутньому гіпотиреозі. </w:t>
      </w:r>
      <w:r w:rsidRPr="00E87CD9">
        <w:rPr>
          <w:rFonts w:eastAsia="TimesNewRoman"/>
          <w:color w:val="auto"/>
          <w:sz w:val="28"/>
          <w:szCs w:val="28"/>
        </w:rPr>
        <w:t>Фізіологічні та біохімічні механізми розвитку і корекціїпатологічних станів</w:t>
      </w:r>
      <w:r w:rsidRPr="00E87CD9">
        <w:rPr>
          <w:color w:val="auto"/>
          <w:sz w:val="28"/>
          <w:szCs w:val="28"/>
        </w:rPr>
        <w:t xml:space="preserve">: </w:t>
      </w:r>
      <w:r w:rsidRPr="00E87CD9">
        <w:rPr>
          <w:rFonts w:eastAsia="TimesNewRoman"/>
          <w:color w:val="auto"/>
          <w:sz w:val="28"/>
          <w:szCs w:val="28"/>
        </w:rPr>
        <w:t>матеріали міжвуз</w:t>
      </w:r>
      <w:r w:rsidR="0037634D" w:rsidRPr="00E87CD9">
        <w:rPr>
          <w:rFonts w:eastAsia="TimesNewRoman"/>
          <w:color w:val="auto"/>
          <w:sz w:val="28"/>
          <w:szCs w:val="28"/>
        </w:rPr>
        <w:t>івської</w:t>
      </w:r>
      <w:r w:rsidRPr="00E87CD9">
        <w:rPr>
          <w:rFonts w:eastAsia="TimesNewRoman"/>
          <w:color w:val="auto"/>
          <w:sz w:val="28"/>
          <w:szCs w:val="28"/>
        </w:rPr>
        <w:t>наук</w:t>
      </w:r>
      <w:r w:rsidR="0037634D" w:rsidRPr="00E87CD9">
        <w:rPr>
          <w:rFonts w:eastAsia="TimesNewRoman"/>
          <w:color w:val="auto"/>
          <w:sz w:val="28"/>
          <w:szCs w:val="28"/>
        </w:rPr>
        <w:t>ово</w:t>
      </w:r>
      <w:r w:rsidRPr="00E87CD9">
        <w:rPr>
          <w:color w:val="auto"/>
          <w:sz w:val="28"/>
          <w:szCs w:val="28"/>
        </w:rPr>
        <w:t>-</w:t>
      </w:r>
      <w:r w:rsidRPr="00E87CD9">
        <w:rPr>
          <w:rFonts w:eastAsia="TimesNewRoman"/>
          <w:color w:val="auto"/>
          <w:sz w:val="28"/>
          <w:szCs w:val="28"/>
        </w:rPr>
        <w:t>практ</w:t>
      </w:r>
      <w:r w:rsidR="0037634D" w:rsidRPr="00E87CD9">
        <w:rPr>
          <w:rFonts w:eastAsia="TimesNewRoman"/>
          <w:color w:val="auto"/>
          <w:sz w:val="28"/>
          <w:szCs w:val="28"/>
        </w:rPr>
        <w:t>ичної</w:t>
      </w:r>
      <w:r w:rsidRPr="00E87CD9">
        <w:rPr>
          <w:rFonts w:eastAsia="TimesNewRoman"/>
          <w:color w:val="auto"/>
          <w:sz w:val="28"/>
          <w:szCs w:val="28"/>
        </w:rPr>
        <w:t>конф</w:t>
      </w:r>
      <w:r w:rsidR="0037634D" w:rsidRPr="00E87CD9">
        <w:rPr>
          <w:rFonts w:eastAsia="TimesNewRoman"/>
          <w:color w:val="auto"/>
          <w:sz w:val="28"/>
          <w:szCs w:val="28"/>
        </w:rPr>
        <w:t>еренції</w:t>
      </w:r>
      <w:r w:rsidRPr="00E87CD9">
        <w:rPr>
          <w:rFonts w:eastAsia="TimesNewRoman"/>
          <w:color w:val="auto"/>
          <w:sz w:val="28"/>
          <w:szCs w:val="28"/>
        </w:rPr>
        <w:t>молодих учених та студентів з міжнар</w:t>
      </w:r>
      <w:r w:rsidR="0037634D" w:rsidRPr="00E87CD9">
        <w:rPr>
          <w:rFonts w:eastAsia="TimesNewRoman"/>
          <w:color w:val="auto"/>
          <w:sz w:val="28"/>
          <w:szCs w:val="28"/>
        </w:rPr>
        <w:t>одною</w:t>
      </w:r>
      <w:r w:rsidRPr="00E87CD9">
        <w:rPr>
          <w:rFonts w:eastAsia="TimesNewRoman"/>
          <w:color w:val="auto"/>
          <w:sz w:val="28"/>
          <w:szCs w:val="28"/>
        </w:rPr>
        <w:t xml:space="preserve">участю </w:t>
      </w:r>
      <w:r w:rsidRPr="00E87CD9">
        <w:rPr>
          <w:color w:val="auto"/>
          <w:sz w:val="28"/>
          <w:szCs w:val="28"/>
        </w:rPr>
        <w:t xml:space="preserve">(5-6 </w:t>
      </w:r>
      <w:r w:rsidRPr="00E87CD9">
        <w:rPr>
          <w:rFonts w:eastAsia="TimesNewRoman"/>
          <w:color w:val="auto"/>
          <w:sz w:val="28"/>
          <w:szCs w:val="28"/>
        </w:rPr>
        <w:t>квітня</w:t>
      </w:r>
      <w:r w:rsidRPr="00E87CD9">
        <w:rPr>
          <w:color w:val="auto"/>
          <w:sz w:val="28"/>
          <w:szCs w:val="28"/>
        </w:rPr>
        <w:t xml:space="preserve"> 2019 </w:t>
      </w:r>
      <w:r w:rsidRPr="00E87CD9">
        <w:rPr>
          <w:rFonts w:eastAsia="TimesNewRoman"/>
          <w:color w:val="auto"/>
          <w:sz w:val="28"/>
          <w:szCs w:val="28"/>
        </w:rPr>
        <w:t>р</w:t>
      </w:r>
      <w:r w:rsidRPr="00E87CD9">
        <w:rPr>
          <w:color w:val="auto"/>
          <w:sz w:val="28"/>
          <w:szCs w:val="28"/>
        </w:rPr>
        <w:t xml:space="preserve">.) / </w:t>
      </w:r>
      <w:r w:rsidRPr="00E87CD9">
        <w:rPr>
          <w:rFonts w:eastAsia="TimesNewRoman"/>
          <w:color w:val="auto"/>
          <w:sz w:val="28"/>
          <w:szCs w:val="28"/>
        </w:rPr>
        <w:t>редкол</w:t>
      </w:r>
      <w:r w:rsidR="0037634D" w:rsidRPr="00E87CD9">
        <w:rPr>
          <w:rFonts w:eastAsia="TimesNewRoman"/>
          <w:color w:val="auto"/>
          <w:sz w:val="28"/>
          <w:szCs w:val="28"/>
        </w:rPr>
        <w:t>егія</w:t>
      </w:r>
      <w:r w:rsidRPr="00E87CD9">
        <w:rPr>
          <w:color w:val="auto"/>
          <w:sz w:val="28"/>
          <w:szCs w:val="28"/>
        </w:rPr>
        <w:t xml:space="preserve">: </w:t>
      </w:r>
      <w:r w:rsidRPr="00E87CD9">
        <w:rPr>
          <w:rFonts w:eastAsia="TimesNewRoman"/>
          <w:color w:val="auto"/>
          <w:sz w:val="28"/>
          <w:szCs w:val="28"/>
        </w:rPr>
        <w:t>А</w:t>
      </w:r>
      <w:r w:rsidRPr="00E87CD9">
        <w:rPr>
          <w:color w:val="auto"/>
          <w:sz w:val="28"/>
          <w:szCs w:val="28"/>
        </w:rPr>
        <w:t xml:space="preserve">. </w:t>
      </w:r>
      <w:r w:rsidRPr="00E87CD9">
        <w:rPr>
          <w:rFonts w:eastAsia="TimesNewRoman"/>
          <w:color w:val="auto"/>
          <w:sz w:val="28"/>
          <w:szCs w:val="28"/>
        </w:rPr>
        <w:t>Л</w:t>
      </w:r>
      <w:r w:rsidRPr="00E87CD9">
        <w:rPr>
          <w:color w:val="auto"/>
          <w:sz w:val="28"/>
          <w:szCs w:val="28"/>
        </w:rPr>
        <w:t xml:space="preserve">. </w:t>
      </w:r>
      <w:r w:rsidRPr="00E87CD9">
        <w:rPr>
          <w:rFonts w:eastAsia="TimesNewRoman"/>
          <w:color w:val="auto"/>
          <w:sz w:val="28"/>
          <w:szCs w:val="28"/>
        </w:rPr>
        <w:t>Загайко</w:t>
      </w:r>
      <w:r w:rsidRPr="00E87CD9">
        <w:rPr>
          <w:color w:val="auto"/>
          <w:sz w:val="28"/>
          <w:szCs w:val="28"/>
        </w:rPr>
        <w:t xml:space="preserve">, </w:t>
      </w:r>
      <w:r w:rsidRPr="00E87CD9">
        <w:rPr>
          <w:rFonts w:eastAsia="TimesNewRoman"/>
          <w:color w:val="auto"/>
          <w:sz w:val="28"/>
          <w:szCs w:val="28"/>
        </w:rPr>
        <w:t>Д</w:t>
      </w:r>
      <w:r w:rsidRPr="00E87CD9">
        <w:rPr>
          <w:color w:val="auto"/>
          <w:sz w:val="28"/>
          <w:szCs w:val="28"/>
        </w:rPr>
        <w:t xml:space="preserve">. </w:t>
      </w:r>
      <w:r w:rsidRPr="00E87CD9">
        <w:rPr>
          <w:rFonts w:eastAsia="TimesNewRoman"/>
          <w:color w:val="auto"/>
          <w:sz w:val="28"/>
          <w:szCs w:val="28"/>
        </w:rPr>
        <w:t>І</w:t>
      </w:r>
      <w:r w:rsidRPr="00E87CD9">
        <w:rPr>
          <w:color w:val="auto"/>
          <w:sz w:val="28"/>
          <w:szCs w:val="28"/>
        </w:rPr>
        <w:t xml:space="preserve">. </w:t>
      </w:r>
      <w:r w:rsidRPr="00E87CD9">
        <w:rPr>
          <w:rFonts w:eastAsia="TimesNewRoman"/>
          <w:color w:val="auto"/>
          <w:sz w:val="28"/>
          <w:szCs w:val="28"/>
        </w:rPr>
        <w:t>Маракушин</w:t>
      </w:r>
      <w:r w:rsidRPr="00E87CD9">
        <w:rPr>
          <w:color w:val="auto"/>
          <w:sz w:val="28"/>
          <w:szCs w:val="28"/>
        </w:rPr>
        <w:t xml:space="preserve">, </w:t>
      </w:r>
      <w:r w:rsidRPr="00E87CD9">
        <w:rPr>
          <w:rFonts w:eastAsia="TimesNewRoman"/>
          <w:color w:val="auto"/>
          <w:sz w:val="28"/>
          <w:szCs w:val="28"/>
        </w:rPr>
        <w:t>В</w:t>
      </w:r>
      <w:r w:rsidRPr="00E87CD9">
        <w:rPr>
          <w:color w:val="auto"/>
          <w:sz w:val="28"/>
          <w:szCs w:val="28"/>
        </w:rPr>
        <w:t xml:space="preserve">. </w:t>
      </w:r>
      <w:r w:rsidRPr="00E87CD9">
        <w:rPr>
          <w:rFonts w:eastAsia="TimesNewRoman"/>
          <w:color w:val="auto"/>
          <w:sz w:val="28"/>
          <w:szCs w:val="28"/>
        </w:rPr>
        <w:t>М</w:t>
      </w:r>
      <w:r w:rsidRPr="00E87CD9">
        <w:rPr>
          <w:color w:val="auto"/>
          <w:sz w:val="28"/>
          <w:szCs w:val="28"/>
        </w:rPr>
        <w:t xml:space="preserve">. </w:t>
      </w:r>
      <w:r w:rsidRPr="00E87CD9">
        <w:rPr>
          <w:rFonts w:eastAsia="TimesNewRoman"/>
          <w:color w:val="auto"/>
          <w:sz w:val="28"/>
          <w:szCs w:val="28"/>
        </w:rPr>
        <w:t xml:space="preserve">Кравченко </w:t>
      </w:r>
      <w:r w:rsidR="009F177E" w:rsidRPr="00E87CD9">
        <w:rPr>
          <w:rFonts w:eastAsia="TimesNewRoman"/>
          <w:color w:val="auto"/>
          <w:sz w:val="28"/>
          <w:szCs w:val="28"/>
        </w:rPr>
        <w:t>[</w:t>
      </w:r>
      <w:r w:rsidRPr="00E87CD9">
        <w:rPr>
          <w:rFonts w:eastAsia="TimesNewRoman"/>
          <w:color w:val="auto"/>
          <w:sz w:val="28"/>
          <w:szCs w:val="28"/>
        </w:rPr>
        <w:t>та ін</w:t>
      </w:r>
      <w:r w:rsidRPr="00E87CD9">
        <w:rPr>
          <w:color w:val="auto"/>
          <w:sz w:val="28"/>
          <w:szCs w:val="28"/>
        </w:rPr>
        <w:t>.</w:t>
      </w:r>
      <w:r w:rsidR="009F177E" w:rsidRPr="00E87CD9">
        <w:rPr>
          <w:color w:val="auto"/>
          <w:sz w:val="28"/>
          <w:szCs w:val="28"/>
        </w:rPr>
        <w:t>].</w:t>
      </w:r>
      <w:r w:rsidRPr="00E87CD9">
        <w:rPr>
          <w:rFonts w:eastAsia="TimesNewRoman"/>
          <w:color w:val="auto"/>
          <w:sz w:val="28"/>
          <w:szCs w:val="28"/>
        </w:rPr>
        <w:t>Харків</w:t>
      </w:r>
      <w:r w:rsidRPr="00E87CD9">
        <w:rPr>
          <w:color w:val="auto"/>
          <w:sz w:val="28"/>
          <w:szCs w:val="28"/>
        </w:rPr>
        <w:t xml:space="preserve">: </w:t>
      </w:r>
      <w:r w:rsidRPr="00E87CD9">
        <w:rPr>
          <w:rFonts w:eastAsia="TimesNewRoman"/>
          <w:color w:val="auto"/>
          <w:sz w:val="28"/>
          <w:szCs w:val="28"/>
        </w:rPr>
        <w:t>НФаУ</w:t>
      </w:r>
      <w:r w:rsidRPr="00E87CD9">
        <w:rPr>
          <w:color w:val="auto"/>
          <w:sz w:val="28"/>
          <w:szCs w:val="28"/>
        </w:rPr>
        <w:t>, 2019. С. 37.</w:t>
      </w:r>
    </w:p>
    <w:p w:rsidR="00B40101" w:rsidRPr="00E87CD9" w:rsidRDefault="00B40101" w:rsidP="00C50740">
      <w:pPr>
        <w:numPr>
          <w:ilvl w:val="0"/>
          <w:numId w:val="8"/>
        </w:numPr>
        <w:suppressAutoHyphens/>
        <w:autoSpaceDN w:val="0"/>
        <w:ind w:left="0" w:firstLine="709"/>
        <w:jc w:val="both"/>
        <w:rPr>
          <w:b/>
          <w:color w:val="auto"/>
          <w:sz w:val="28"/>
          <w:szCs w:val="28"/>
        </w:rPr>
      </w:pPr>
      <w:r w:rsidRPr="00E87CD9">
        <w:rPr>
          <w:rStyle w:val="A20"/>
          <w:rFonts w:ascii="Times New Roman" w:hAnsi="Times New Roman" w:cs="Times New Roman"/>
          <w:b w:val="0"/>
          <w:color w:val="auto"/>
          <w:sz w:val="28"/>
          <w:szCs w:val="28"/>
        </w:rPr>
        <w:t xml:space="preserve">Носівець Д.С. Використання НПЗЗ та хондропротекторів для лікування остеоартрозу на фоні гормональної дисфункції щитоподібної залози. </w:t>
      </w:r>
      <w:r w:rsidR="006270F5" w:rsidRPr="00E87CD9">
        <w:rPr>
          <w:rStyle w:val="af5"/>
          <w:rFonts w:eastAsia="Tahoma"/>
          <w:b w:val="0"/>
          <w:color w:val="auto"/>
          <w:sz w:val="28"/>
          <w:szCs w:val="28"/>
        </w:rPr>
        <w:t>Матеріали</w:t>
      </w:r>
      <w:r w:rsidRPr="00E87CD9">
        <w:rPr>
          <w:rStyle w:val="A20"/>
          <w:rFonts w:ascii="Times New Roman" w:hAnsi="Times New Roman" w:cs="Times New Roman"/>
          <w:b w:val="0"/>
          <w:color w:val="auto"/>
          <w:sz w:val="28"/>
          <w:szCs w:val="28"/>
        </w:rPr>
        <w:t xml:space="preserve"> наук</w:t>
      </w:r>
      <w:r w:rsidR="0037634D" w:rsidRPr="00E87CD9">
        <w:rPr>
          <w:rStyle w:val="A20"/>
          <w:rFonts w:ascii="Times New Roman" w:hAnsi="Times New Roman" w:cs="Times New Roman"/>
          <w:b w:val="0"/>
          <w:color w:val="auto"/>
          <w:sz w:val="28"/>
          <w:szCs w:val="28"/>
        </w:rPr>
        <w:t>ово</w:t>
      </w:r>
      <w:r w:rsidRPr="00E87CD9">
        <w:rPr>
          <w:rStyle w:val="A20"/>
          <w:rFonts w:ascii="Times New Roman" w:hAnsi="Times New Roman" w:cs="Times New Roman"/>
          <w:b w:val="0"/>
          <w:color w:val="auto"/>
          <w:sz w:val="28"/>
          <w:szCs w:val="28"/>
        </w:rPr>
        <w:t>-практ</w:t>
      </w:r>
      <w:r w:rsidR="0037634D" w:rsidRPr="00E87CD9">
        <w:rPr>
          <w:rStyle w:val="A20"/>
          <w:rFonts w:ascii="Times New Roman" w:hAnsi="Times New Roman" w:cs="Times New Roman"/>
          <w:b w:val="0"/>
          <w:color w:val="auto"/>
          <w:sz w:val="28"/>
          <w:szCs w:val="28"/>
        </w:rPr>
        <w:t>ичної</w:t>
      </w:r>
      <w:r w:rsidRPr="00E87CD9">
        <w:rPr>
          <w:rStyle w:val="A20"/>
          <w:rFonts w:ascii="Times New Roman" w:hAnsi="Times New Roman" w:cs="Times New Roman"/>
          <w:b w:val="0"/>
          <w:color w:val="auto"/>
          <w:sz w:val="28"/>
          <w:szCs w:val="28"/>
        </w:rPr>
        <w:t xml:space="preserve"> конф</w:t>
      </w:r>
      <w:r w:rsidR="0037634D" w:rsidRPr="00E87CD9">
        <w:rPr>
          <w:rStyle w:val="A20"/>
          <w:rFonts w:ascii="Times New Roman" w:hAnsi="Times New Roman" w:cs="Times New Roman"/>
          <w:b w:val="0"/>
          <w:color w:val="auto"/>
          <w:sz w:val="28"/>
          <w:szCs w:val="28"/>
        </w:rPr>
        <w:t>еренції</w:t>
      </w:r>
      <w:r w:rsidRPr="00E87CD9">
        <w:rPr>
          <w:rStyle w:val="A20"/>
          <w:rFonts w:ascii="Times New Roman" w:hAnsi="Times New Roman" w:cs="Times New Roman"/>
          <w:b w:val="0"/>
          <w:color w:val="auto"/>
          <w:sz w:val="28"/>
          <w:szCs w:val="28"/>
        </w:rPr>
        <w:t xml:space="preserve"> з міжнар</w:t>
      </w:r>
      <w:r w:rsidR="0037634D" w:rsidRPr="00E87CD9">
        <w:rPr>
          <w:rStyle w:val="A20"/>
          <w:rFonts w:ascii="Times New Roman" w:hAnsi="Times New Roman" w:cs="Times New Roman"/>
          <w:b w:val="0"/>
          <w:color w:val="auto"/>
          <w:sz w:val="28"/>
          <w:szCs w:val="28"/>
        </w:rPr>
        <w:t>одною</w:t>
      </w:r>
      <w:r w:rsidRPr="00E87CD9">
        <w:rPr>
          <w:rStyle w:val="A20"/>
          <w:rFonts w:ascii="Times New Roman" w:hAnsi="Times New Roman" w:cs="Times New Roman"/>
          <w:b w:val="0"/>
          <w:color w:val="auto"/>
          <w:sz w:val="28"/>
          <w:szCs w:val="28"/>
        </w:rPr>
        <w:t xml:space="preserve"> участю «Сучасні аспекти діагностики та лікування захворювань внутрішніх органів» (11 квітня 2019 р.). Івано-Франківськ, 2019. С. 68-69.</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Носивец Д.С. Рациональное использование НПВС и хондропротекторов для лечения остеоартроза при сопутствующем гипотиреозе. Актуальные проблемы современной медицины и фармации 2019: Сб</w:t>
      </w:r>
      <w:r w:rsidR="0037634D" w:rsidRPr="00E87CD9">
        <w:rPr>
          <w:color w:val="auto"/>
          <w:sz w:val="28"/>
          <w:szCs w:val="28"/>
        </w:rPr>
        <w:t>орник</w:t>
      </w:r>
      <w:r w:rsidRPr="00E87CD9">
        <w:rPr>
          <w:color w:val="auto"/>
          <w:sz w:val="28"/>
          <w:szCs w:val="28"/>
        </w:rPr>
        <w:t xml:space="preserve"> тезисов докладов LXXIII Междунар</w:t>
      </w:r>
      <w:r w:rsidR="0037634D" w:rsidRPr="00E87CD9">
        <w:rPr>
          <w:color w:val="auto"/>
          <w:sz w:val="28"/>
          <w:szCs w:val="28"/>
        </w:rPr>
        <w:t>одной</w:t>
      </w:r>
      <w:r w:rsidRPr="00E87CD9">
        <w:rPr>
          <w:color w:val="auto"/>
          <w:sz w:val="28"/>
          <w:szCs w:val="28"/>
        </w:rPr>
        <w:t xml:space="preserve"> научно-практ</w:t>
      </w:r>
      <w:r w:rsidR="0037634D" w:rsidRPr="00E87CD9">
        <w:rPr>
          <w:color w:val="auto"/>
          <w:sz w:val="28"/>
          <w:szCs w:val="28"/>
        </w:rPr>
        <w:t>ической</w:t>
      </w:r>
      <w:r w:rsidRPr="00E87CD9">
        <w:rPr>
          <w:color w:val="auto"/>
          <w:sz w:val="28"/>
          <w:szCs w:val="28"/>
        </w:rPr>
        <w:t xml:space="preserve"> </w:t>
      </w:r>
      <w:r w:rsidRPr="00E87CD9">
        <w:rPr>
          <w:color w:val="auto"/>
          <w:sz w:val="28"/>
          <w:szCs w:val="28"/>
        </w:rPr>
        <w:lastRenderedPageBreak/>
        <w:t>конф</w:t>
      </w:r>
      <w:r w:rsidR="0037634D" w:rsidRPr="00E87CD9">
        <w:rPr>
          <w:color w:val="auto"/>
          <w:sz w:val="28"/>
          <w:szCs w:val="28"/>
        </w:rPr>
        <w:t>еренции</w:t>
      </w:r>
      <w:r w:rsidRPr="00E87CD9">
        <w:rPr>
          <w:color w:val="auto"/>
          <w:sz w:val="28"/>
          <w:szCs w:val="28"/>
        </w:rPr>
        <w:t>студентов и молодых учёных / под редакцией А.В. Сикорского, В.Я. Хрыщановича. Минск: БГМУ, 2019. С. 1495.</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 xml:space="preserve">Носивец Д.С. Выбор НПВС для симптоматической терапии проявлений остеоартроза при сопутствующем гипотиреозе. </w:t>
      </w:r>
      <w:r w:rsidRPr="00E87CD9">
        <w:rPr>
          <w:rFonts w:eastAsia="Calibri"/>
          <w:color w:val="auto"/>
          <w:sz w:val="28"/>
          <w:szCs w:val="28"/>
        </w:rPr>
        <w:t>Мат</w:t>
      </w:r>
      <w:r w:rsidR="0037634D" w:rsidRPr="00E87CD9">
        <w:rPr>
          <w:rFonts w:eastAsia="Calibri"/>
          <w:color w:val="auto"/>
          <w:sz w:val="28"/>
          <w:szCs w:val="28"/>
        </w:rPr>
        <w:t>ериалы</w:t>
      </w:r>
      <w:r w:rsidRPr="00E87CD9">
        <w:rPr>
          <w:rFonts w:eastAsia="Calibri"/>
          <w:color w:val="auto"/>
          <w:sz w:val="28"/>
          <w:szCs w:val="28"/>
        </w:rPr>
        <w:t xml:space="preserve"> всерос</w:t>
      </w:r>
      <w:r w:rsidR="0037634D" w:rsidRPr="00E87CD9">
        <w:rPr>
          <w:rFonts w:eastAsia="Calibri"/>
          <w:color w:val="auto"/>
          <w:sz w:val="28"/>
          <w:szCs w:val="28"/>
        </w:rPr>
        <w:t>сийской</w:t>
      </w:r>
      <w:r w:rsidRPr="00E87CD9">
        <w:rPr>
          <w:rFonts w:eastAsia="Calibri"/>
          <w:color w:val="auto"/>
          <w:sz w:val="28"/>
          <w:szCs w:val="28"/>
        </w:rPr>
        <w:t xml:space="preserve"> научно-образовательной конф</w:t>
      </w:r>
      <w:r w:rsidR="0037634D" w:rsidRPr="00E87CD9">
        <w:rPr>
          <w:rFonts w:eastAsia="Calibri"/>
          <w:color w:val="auto"/>
          <w:sz w:val="28"/>
          <w:szCs w:val="28"/>
        </w:rPr>
        <w:t>еренции</w:t>
      </w:r>
      <w:r w:rsidRPr="00E87CD9">
        <w:rPr>
          <w:rFonts w:eastAsia="Calibri"/>
          <w:color w:val="auto"/>
          <w:sz w:val="28"/>
          <w:szCs w:val="28"/>
        </w:rPr>
        <w:t xml:space="preserve"> «Научные достижения и современные технологии в российской травматологии и ортопедии», посвященной памяти профессора А.Н. Горячева. </w:t>
      </w:r>
      <w:r w:rsidRPr="00E87CD9">
        <w:rPr>
          <w:color w:val="auto"/>
          <w:sz w:val="28"/>
          <w:szCs w:val="28"/>
        </w:rPr>
        <w:t>Омск: Издательство «Омскбланкиздат», 2019. С. 48-50.</w:t>
      </w:r>
    </w:p>
    <w:p w:rsidR="00B40101" w:rsidRPr="00E87CD9" w:rsidRDefault="00B40101" w:rsidP="00C50740">
      <w:pPr>
        <w:numPr>
          <w:ilvl w:val="0"/>
          <w:numId w:val="8"/>
        </w:numPr>
        <w:suppressAutoHyphens/>
        <w:autoSpaceDN w:val="0"/>
        <w:ind w:left="0" w:firstLine="709"/>
        <w:jc w:val="both"/>
        <w:rPr>
          <w:b/>
          <w:color w:val="auto"/>
          <w:sz w:val="28"/>
          <w:szCs w:val="28"/>
        </w:rPr>
      </w:pPr>
      <w:r w:rsidRPr="00E87CD9">
        <w:rPr>
          <w:rStyle w:val="A20"/>
          <w:rFonts w:ascii="Times New Roman" w:hAnsi="Times New Roman" w:cs="Times New Roman"/>
          <w:b w:val="0"/>
          <w:color w:val="auto"/>
          <w:sz w:val="28"/>
          <w:szCs w:val="28"/>
        </w:rPr>
        <w:t>Nosivets D.S. Application of nonsteroidal anti-inflammatory drugs and hondroprotectors in treatment of osteoarthritis in complex hypothyroidism. International scientific conference «Medicine under the modern conditions of integration development of European countries» (May 10-11, 2019). Lublin: Izdevnieciba «Baltija Publishing», 2019. С. 146-149.</w:t>
      </w:r>
    </w:p>
    <w:p w:rsidR="00B40101" w:rsidRPr="00E87CD9" w:rsidRDefault="00B40101" w:rsidP="00C50740">
      <w:pPr>
        <w:numPr>
          <w:ilvl w:val="0"/>
          <w:numId w:val="8"/>
        </w:numPr>
        <w:suppressAutoHyphens/>
        <w:autoSpaceDN w:val="0"/>
        <w:ind w:left="0" w:firstLine="709"/>
        <w:jc w:val="both"/>
        <w:rPr>
          <w:rStyle w:val="A20"/>
          <w:rFonts w:ascii="Times New Roman" w:hAnsi="Times New Roman" w:cs="Times New Roman"/>
          <w:bCs w:val="0"/>
          <w:color w:val="auto"/>
          <w:sz w:val="28"/>
          <w:szCs w:val="28"/>
        </w:rPr>
      </w:pPr>
      <w:r w:rsidRPr="00E87CD9">
        <w:rPr>
          <w:color w:val="auto"/>
          <w:sz w:val="28"/>
          <w:szCs w:val="28"/>
        </w:rPr>
        <w:t xml:space="preserve">Носивец Д.С. Структурные изменения костной и хрящевой ткани при экспериментальном гипотиреозе. </w:t>
      </w:r>
      <w:r w:rsidRPr="00E87CD9">
        <w:rPr>
          <w:rStyle w:val="A20"/>
          <w:rFonts w:ascii="Times New Roman" w:hAnsi="Times New Roman" w:cs="Times New Roman"/>
          <w:b w:val="0"/>
          <w:color w:val="auto"/>
          <w:sz w:val="28"/>
          <w:szCs w:val="28"/>
        </w:rPr>
        <w:t>III Междунар</w:t>
      </w:r>
      <w:r w:rsidR="0037634D" w:rsidRPr="00E87CD9">
        <w:rPr>
          <w:rStyle w:val="A20"/>
          <w:rFonts w:ascii="Times New Roman" w:hAnsi="Times New Roman" w:cs="Times New Roman"/>
          <w:b w:val="0"/>
          <w:color w:val="auto"/>
          <w:sz w:val="28"/>
          <w:szCs w:val="28"/>
        </w:rPr>
        <w:t>одный</w:t>
      </w:r>
      <w:r w:rsidRPr="00E87CD9">
        <w:rPr>
          <w:rStyle w:val="A20"/>
          <w:rFonts w:ascii="Times New Roman" w:hAnsi="Times New Roman" w:cs="Times New Roman"/>
          <w:b w:val="0"/>
          <w:color w:val="auto"/>
          <w:sz w:val="28"/>
          <w:szCs w:val="28"/>
        </w:rPr>
        <w:t xml:space="preserve"> конгресс ассоциации ревмоортопедов: тезисы докладов конгресса / редкол</w:t>
      </w:r>
      <w:r w:rsidR="0037634D" w:rsidRPr="00E87CD9">
        <w:rPr>
          <w:rStyle w:val="A20"/>
          <w:rFonts w:ascii="Times New Roman" w:hAnsi="Times New Roman" w:cs="Times New Roman"/>
          <w:b w:val="0"/>
          <w:color w:val="auto"/>
          <w:sz w:val="28"/>
          <w:szCs w:val="28"/>
        </w:rPr>
        <w:t>легия</w:t>
      </w:r>
      <w:r w:rsidRPr="00E87CD9">
        <w:rPr>
          <w:rStyle w:val="A20"/>
          <w:rFonts w:ascii="Times New Roman" w:hAnsi="Times New Roman" w:cs="Times New Roman"/>
          <w:b w:val="0"/>
          <w:color w:val="auto"/>
          <w:sz w:val="28"/>
          <w:szCs w:val="28"/>
        </w:rPr>
        <w:t>: М. А. Макаров [и др.]; Ассоциация ревмоортопедов (</w:t>
      </w:r>
      <w:r w:rsidRPr="00E87CD9">
        <w:rPr>
          <w:color w:val="auto"/>
          <w:sz w:val="28"/>
          <w:szCs w:val="28"/>
          <w:lang w:eastAsia="ru-RU"/>
        </w:rPr>
        <w:t xml:space="preserve">Москва, 20-21 сентября 2019 г.). </w:t>
      </w:r>
      <w:r w:rsidRPr="00E87CD9">
        <w:rPr>
          <w:rStyle w:val="A20"/>
          <w:rFonts w:ascii="Times New Roman" w:hAnsi="Times New Roman" w:cs="Times New Roman"/>
          <w:b w:val="0"/>
          <w:color w:val="auto"/>
          <w:sz w:val="28"/>
          <w:szCs w:val="28"/>
        </w:rPr>
        <w:t>Воронеж: Издательско-полиграфический центр «Научная книга», 2019. С. 83-85.</w:t>
      </w:r>
    </w:p>
    <w:p w:rsidR="00B40101" w:rsidRPr="00E87CD9" w:rsidRDefault="00B40101" w:rsidP="00C50740">
      <w:pPr>
        <w:numPr>
          <w:ilvl w:val="0"/>
          <w:numId w:val="8"/>
        </w:numPr>
        <w:suppressAutoHyphens/>
        <w:autoSpaceDN w:val="0"/>
        <w:ind w:left="0" w:firstLine="709"/>
        <w:jc w:val="both"/>
        <w:rPr>
          <w:color w:val="auto"/>
          <w:sz w:val="28"/>
          <w:szCs w:val="28"/>
        </w:rPr>
      </w:pPr>
      <w:r w:rsidRPr="00E87CD9">
        <w:rPr>
          <w:color w:val="auto"/>
          <w:sz w:val="28"/>
          <w:szCs w:val="28"/>
        </w:rPr>
        <w:t>Носивец Д.С. Клинические и экспериментальные аспекты остеоартроза при сопутствующем гипотиреозе. Мат</w:t>
      </w:r>
      <w:r w:rsidR="0037634D" w:rsidRPr="00E87CD9">
        <w:rPr>
          <w:color w:val="auto"/>
          <w:sz w:val="28"/>
          <w:szCs w:val="28"/>
        </w:rPr>
        <w:t>ериалы</w:t>
      </w:r>
      <w:r w:rsidRPr="00E87CD9">
        <w:rPr>
          <w:color w:val="auto"/>
          <w:sz w:val="28"/>
          <w:szCs w:val="28"/>
        </w:rPr>
        <w:t xml:space="preserve"> междунар</w:t>
      </w:r>
      <w:r w:rsidR="0037634D" w:rsidRPr="00E87CD9">
        <w:rPr>
          <w:color w:val="auto"/>
          <w:sz w:val="28"/>
          <w:szCs w:val="28"/>
        </w:rPr>
        <w:t>одной</w:t>
      </w:r>
      <w:r w:rsidRPr="00E87CD9">
        <w:rPr>
          <w:color w:val="auto"/>
          <w:sz w:val="28"/>
          <w:szCs w:val="28"/>
        </w:rPr>
        <w:t xml:space="preserve"> научно-практич</w:t>
      </w:r>
      <w:r w:rsidR="0037634D" w:rsidRPr="00E87CD9">
        <w:rPr>
          <w:color w:val="auto"/>
          <w:sz w:val="28"/>
          <w:szCs w:val="28"/>
        </w:rPr>
        <w:t>еской</w:t>
      </w:r>
      <w:r w:rsidRPr="00E87CD9">
        <w:rPr>
          <w:color w:val="auto"/>
          <w:sz w:val="28"/>
          <w:szCs w:val="28"/>
        </w:rPr>
        <w:t xml:space="preserve"> конф</w:t>
      </w:r>
      <w:r w:rsidR="0037634D" w:rsidRPr="00E87CD9">
        <w:rPr>
          <w:color w:val="auto"/>
          <w:sz w:val="28"/>
          <w:szCs w:val="28"/>
        </w:rPr>
        <w:t>еренции</w:t>
      </w:r>
      <w:r w:rsidRPr="00E87CD9">
        <w:rPr>
          <w:color w:val="auto"/>
          <w:sz w:val="28"/>
          <w:szCs w:val="28"/>
        </w:rPr>
        <w:t xml:space="preserve"> «Илизаровские чтения» «Осложнения в ортопедии и травматологии. Клинические и экспериментальные аспекты» (</w:t>
      </w:r>
      <w:r w:rsidRPr="00E87CD9">
        <w:rPr>
          <w:bCs/>
          <w:color w:val="auto"/>
          <w:sz w:val="28"/>
          <w:szCs w:val="28"/>
        </w:rPr>
        <w:t>14-15 июня 2019 г.)</w:t>
      </w:r>
      <w:r w:rsidRPr="00E87CD9">
        <w:rPr>
          <w:color w:val="auto"/>
          <w:sz w:val="28"/>
          <w:szCs w:val="28"/>
        </w:rPr>
        <w:t>. Курган, 2019. С. 120-122.</w:t>
      </w:r>
    </w:p>
    <w:p w:rsidR="00B40101" w:rsidRPr="00E87CD9" w:rsidRDefault="00B40101" w:rsidP="00C50740">
      <w:pPr>
        <w:numPr>
          <w:ilvl w:val="0"/>
          <w:numId w:val="8"/>
        </w:numPr>
        <w:autoSpaceDN w:val="0"/>
        <w:adjustRightInd w:val="0"/>
        <w:ind w:left="0" w:firstLine="709"/>
        <w:jc w:val="both"/>
        <w:rPr>
          <w:color w:val="auto"/>
          <w:sz w:val="28"/>
          <w:szCs w:val="28"/>
        </w:rPr>
      </w:pPr>
      <w:r w:rsidRPr="00E87CD9">
        <w:rPr>
          <w:rStyle w:val="A20"/>
          <w:rFonts w:ascii="Times New Roman" w:hAnsi="Times New Roman" w:cs="Times New Roman"/>
          <w:b w:val="0"/>
          <w:color w:val="auto"/>
          <w:sz w:val="28"/>
          <w:szCs w:val="28"/>
        </w:rPr>
        <w:t>Носівець Д.С. П</w:t>
      </w:r>
      <w:r w:rsidRPr="00E87CD9">
        <w:rPr>
          <w:rStyle w:val="longtext1"/>
          <w:color w:val="auto"/>
          <w:sz w:val="28"/>
          <w:szCs w:val="28"/>
        </w:rPr>
        <w:t>рофілактика остеоартрозу при функціональній недостатності щитоподібної залози.</w:t>
      </w:r>
      <w:r w:rsidR="006270F5" w:rsidRPr="00E87CD9">
        <w:rPr>
          <w:rStyle w:val="af5"/>
          <w:rFonts w:eastAsia="Tahoma"/>
          <w:b w:val="0"/>
          <w:color w:val="auto"/>
          <w:sz w:val="28"/>
          <w:szCs w:val="28"/>
        </w:rPr>
        <w:t>Матеріали</w:t>
      </w:r>
      <w:r w:rsidRPr="00E87CD9">
        <w:rPr>
          <w:color w:val="auto"/>
          <w:sz w:val="28"/>
          <w:szCs w:val="28"/>
        </w:rPr>
        <w:t xml:space="preserve"> наук</w:t>
      </w:r>
      <w:r w:rsidR="0037634D" w:rsidRPr="00E87CD9">
        <w:rPr>
          <w:color w:val="auto"/>
          <w:sz w:val="28"/>
          <w:szCs w:val="28"/>
        </w:rPr>
        <w:t>ово</w:t>
      </w:r>
      <w:r w:rsidRPr="00E87CD9">
        <w:rPr>
          <w:color w:val="auto"/>
          <w:sz w:val="28"/>
          <w:szCs w:val="28"/>
        </w:rPr>
        <w:t>-практич</w:t>
      </w:r>
      <w:r w:rsidR="0037634D" w:rsidRPr="00E87CD9">
        <w:rPr>
          <w:color w:val="auto"/>
          <w:sz w:val="28"/>
          <w:szCs w:val="28"/>
        </w:rPr>
        <w:t>ної</w:t>
      </w:r>
      <w:r w:rsidRPr="00E87CD9">
        <w:rPr>
          <w:color w:val="auto"/>
          <w:sz w:val="28"/>
          <w:szCs w:val="28"/>
        </w:rPr>
        <w:t xml:space="preserve"> конф</w:t>
      </w:r>
      <w:r w:rsidR="0037634D" w:rsidRPr="00E87CD9">
        <w:rPr>
          <w:color w:val="auto"/>
          <w:sz w:val="28"/>
          <w:szCs w:val="28"/>
        </w:rPr>
        <w:t>еренції</w:t>
      </w:r>
      <w:r w:rsidRPr="00E87CD9">
        <w:rPr>
          <w:color w:val="auto"/>
          <w:sz w:val="28"/>
          <w:szCs w:val="28"/>
        </w:rPr>
        <w:t xml:space="preserve"> з міжнар</w:t>
      </w:r>
      <w:r w:rsidR="0037634D" w:rsidRPr="00E87CD9">
        <w:rPr>
          <w:color w:val="auto"/>
          <w:sz w:val="28"/>
          <w:szCs w:val="28"/>
        </w:rPr>
        <w:t>одною</w:t>
      </w:r>
      <w:r w:rsidRPr="00E87CD9">
        <w:rPr>
          <w:color w:val="auto"/>
          <w:sz w:val="28"/>
          <w:szCs w:val="28"/>
        </w:rPr>
        <w:t xml:space="preserve"> участю </w:t>
      </w:r>
      <w:r w:rsidRPr="00E87CD9">
        <w:rPr>
          <w:rStyle w:val="A20"/>
          <w:rFonts w:ascii="Times New Roman" w:hAnsi="Times New Roman" w:cs="Times New Roman"/>
          <w:b w:val="0"/>
          <w:color w:val="auto"/>
          <w:sz w:val="28"/>
          <w:szCs w:val="28"/>
        </w:rPr>
        <w:t>«Новітні тенденції в діагностиці та лікуванні внутрішніх хвороб» (</w:t>
      </w:r>
      <w:r w:rsidRPr="00E87CD9">
        <w:rPr>
          <w:color w:val="auto"/>
          <w:sz w:val="28"/>
          <w:szCs w:val="28"/>
        </w:rPr>
        <w:t>15-</w:t>
      </w:r>
      <w:r w:rsidRPr="00E87CD9">
        <w:rPr>
          <w:color w:val="auto"/>
          <w:sz w:val="28"/>
          <w:szCs w:val="28"/>
          <w:lang w:eastAsia="ru-RU"/>
        </w:rPr>
        <w:t>16 жовтня 2019 р.)</w:t>
      </w:r>
      <w:r w:rsidRPr="00E87CD9">
        <w:rPr>
          <w:color w:val="auto"/>
          <w:sz w:val="28"/>
          <w:szCs w:val="28"/>
        </w:rPr>
        <w:t>/ за ред. О.М. Біловола [та ін.]. Харків, 2019. С. 152-153.</w:t>
      </w:r>
    </w:p>
    <w:p w:rsidR="00B40101" w:rsidRPr="00E87CD9" w:rsidRDefault="00B40101" w:rsidP="00C50740">
      <w:pPr>
        <w:numPr>
          <w:ilvl w:val="0"/>
          <w:numId w:val="8"/>
        </w:numPr>
        <w:suppressAutoHyphens/>
        <w:autoSpaceDN w:val="0"/>
        <w:ind w:left="0" w:firstLine="709"/>
        <w:jc w:val="both"/>
        <w:rPr>
          <w:b/>
          <w:color w:val="auto"/>
          <w:sz w:val="28"/>
          <w:szCs w:val="28"/>
        </w:rPr>
      </w:pPr>
      <w:r w:rsidRPr="00E87CD9">
        <w:rPr>
          <w:rStyle w:val="A20"/>
          <w:rFonts w:ascii="Times New Roman" w:hAnsi="Times New Roman" w:cs="Times New Roman"/>
          <w:b w:val="0"/>
          <w:color w:val="auto"/>
          <w:sz w:val="28"/>
          <w:szCs w:val="28"/>
        </w:rPr>
        <w:t xml:space="preserve">Носівець Д.С. Аналіз взаємодії лікарських засобів при фармакотерапії остеоартрозу внаслідок гіпотиреозу. Сучасна клінічна фармакологія в фармакотерапії та профілактиці захворювань з позицій доказової медицини / </w:t>
      </w:r>
      <w:r w:rsidR="006270F5" w:rsidRPr="00E87CD9">
        <w:rPr>
          <w:rStyle w:val="af5"/>
          <w:rFonts w:eastAsia="Tahoma"/>
          <w:b w:val="0"/>
          <w:color w:val="auto"/>
          <w:sz w:val="28"/>
          <w:szCs w:val="28"/>
        </w:rPr>
        <w:t>Матеріали</w:t>
      </w:r>
      <w:r w:rsidRPr="00E87CD9">
        <w:rPr>
          <w:rStyle w:val="A20"/>
          <w:rFonts w:ascii="Times New Roman" w:hAnsi="Times New Roman" w:cs="Times New Roman"/>
          <w:b w:val="0"/>
          <w:color w:val="auto"/>
          <w:sz w:val="28"/>
          <w:szCs w:val="28"/>
        </w:rPr>
        <w:t xml:space="preserve"> Х Всеукр</w:t>
      </w:r>
      <w:r w:rsidR="0037634D" w:rsidRPr="00E87CD9">
        <w:rPr>
          <w:rStyle w:val="A20"/>
          <w:rFonts w:ascii="Times New Roman" w:hAnsi="Times New Roman" w:cs="Times New Roman"/>
          <w:b w:val="0"/>
          <w:color w:val="auto"/>
          <w:sz w:val="28"/>
          <w:szCs w:val="28"/>
        </w:rPr>
        <w:t>аїнської</w:t>
      </w:r>
      <w:r w:rsidRPr="00E87CD9">
        <w:rPr>
          <w:rStyle w:val="A20"/>
          <w:rFonts w:ascii="Times New Roman" w:hAnsi="Times New Roman" w:cs="Times New Roman"/>
          <w:b w:val="0"/>
          <w:color w:val="auto"/>
          <w:sz w:val="28"/>
          <w:szCs w:val="28"/>
        </w:rPr>
        <w:t xml:space="preserve"> наук</w:t>
      </w:r>
      <w:r w:rsidR="0037634D" w:rsidRPr="00E87CD9">
        <w:rPr>
          <w:rStyle w:val="A20"/>
          <w:rFonts w:ascii="Times New Roman" w:hAnsi="Times New Roman" w:cs="Times New Roman"/>
          <w:b w:val="0"/>
          <w:color w:val="auto"/>
          <w:sz w:val="28"/>
          <w:szCs w:val="28"/>
        </w:rPr>
        <w:t>ово</w:t>
      </w:r>
      <w:r w:rsidRPr="00E87CD9">
        <w:rPr>
          <w:rStyle w:val="A20"/>
          <w:rFonts w:ascii="Times New Roman" w:hAnsi="Times New Roman" w:cs="Times New Roman"/>
          <w:b w:val="0"/>
          <w:color w:val="auto"/>
          <w:sz w:val="28"/>
          <w:szCs w:val="28"/>
        </w:rPr>
        <w:t>-практич</w:t>
      </w:r>
      <w:r w:rsidR="0037634D" w:rsidRPr="00E87CD9">
        <w:rPr>
          <w:rStyle w:val="A20"/>
          <w:rFonts w:ascii="Times New Roman" w:hAnsi="Times New Roman" w:cs="Times New Roman"/>
          <w:b w:val="0"/>
          <w:color w:val="auto"/>
          <w:sz w:val="28"/>
          <w:szCs w:val="28"/>
        </w:rPr>
        <w:t>ної</w:t>
      </w:r>
      <w:r w:rsidRPr="00E87CD9">
        <w:rPr>
          <w:rStyle w:val="A20"/>
          <w:rFonts w:ascii="Times New Roman" w:hAnsi="Times New Roman" w:cs="Times New Roman"/>
          <w:b w:val="0"/>
          <w:color w:val="auto"/>
          <w:sz w:val="28"/>
          <w:szCs w:val="28"/>
        </w:rPr>
        <w:t xml:space="preserve"> конф</w:t>
      </w:r>
      <w:r w:rsidR="0037634D" w:rsidRPr="00E87CD9">
        <w:rPr>
          <w:rStyle w:val="A20"/>
          <w:rFonts w:ascii="Times New Roman" w:hAnsi="Times New Roman" w:cs="Times New Roman"/>
          <w:b w:val="0"/>
          <w:color w:val="auto"/>
          <w:sz w:val="28"/>
          <w:szCs w:val="28"/>
        </w:rPr>
        <w:t>еренції</w:t>
      </w:r>
      <w:r w:rsidRPr="00E87CD9">
        <w:rPr>
          <w:color w:val="auto"/>
          <w:sz w:val="28"/>
          <w:szCs w:val="28"/>
          <w:lang w:eastAsia="ru-RU"/>
        </w:rPr>
        <w:t xml:space="preserve">за участю міжнародних спеціалістів з клінічної фармакології (7-8 листопада 2019 р.). </w:t>
      </w:r>
      <w:r w:rsidRPr="00E87CD9">
        <w:rPr>
          <w:rStyle w:val="A20"/>
          <w:rFonts w:ascii="Times New Roman" w:hAnsi="Times New Roman" w:cs="Times New Roman"/>
          <w:b w:val="0"/>
          <w:color w:val="auto"/>
          <w:sz w:val="28"/>
          <w:szCs w:val="28"/>
        </w:rPr>
        <w:t>Вінниця, Нілан-ЛТД, 2019. 272 с. С. 153-154.</w:t>
      </w:r>
    </w:p>
    <w:p w:rsidR="00B40101" w:rsidRPr="00E87CD9" w:rsidRDefault="00B40101" w:rsidP="00C50740">
      <w:pPr>
        <w:numPr>
          <w:ilvl w:val="0"/>
          <w:numId w:val="8"/>
        </w:numPr>
        <w:suppressAutoHyphens/>
        <w:autoSpaceDN w:val="0"/>
        <w:ind w:left="0" w:firstLine="709"/>
        <w:jc w:val="both"/>
        <w:rPr>
          <w:b/>
          <w:color w:val="auto"/>
          <w:sz w:val="28"/>
          <w:szCs w:val="28"/>
        </w:rPr>
      </w:pPr>
      <w:r w:rsidRPr="00E87CD9">
        <w:rPr>
          <w:rStyle w:val="A20"/>
          <w:rFonts w:ascii="Times New Roman" w:hAnsi="Times New Roman" w:cs="Times New Roman"/>
          <w:b w:val="0"/>
          <w:color w:val="auto"/>
          <w:sz w:val="28"/>
          <w:szCs w:val="28"/>
        </w:rPr>
        <w:t xml:space="preserve">Носівець Д.С. </w:t>
      </w:r>
      <w:r w:rsidRPr="00E87CD9">
        <w:rPr>
          <w:rStyle w:val="A20"/>
          <w:rFonts w:ascii="Times New Roman" w:hAnsi="Times New Roman" w:cs="Times New Roman"/>
          <w:b w:val="0"/>
          <w:color w:val="auto"/>
          <w:sz w:val="28"/>
          <w:szCs w:val="28"/>
          <w:lang w:eastAsia="uk-UA"/>
        </w:rPr>
        <w:t xml:space="preserve">Сучасні аспекти дослідження стану хрящової та кісткової тканини при остеоартрозі внаслідок гіпотиреозу. Розвиток природничих наук як основа новітніх досягнень у медицині: </w:t>
      </w:r>
      <w:r w:rsidR="006270F5" w:rsidRPr="00E87CD9">
        <w:rPr>
          <w:rStyle w:val="af5"/>
          <w:rFonts w:eastAsia="Tahoma"/>
          <w:b w:val="0"/>
          <w:color w:val="auto"/>
          <w:sz w:val="28"/>
          <w:szCs w:val="28"/>
        </w:rPr>
        <w:t>матеріали</w:t>
      </w:r>
      <w:r w:rsidRPr="00E87CD9">
        <w:rPr>
          <w:rStyle w:val="A20"/>
          <w:rFonts w:ascii="Times New Roman" w:hAnsi="Times New Roman" w:cs="Times New Roman"/>
          <w:b w:val="0"/>
          <w:color w:val="auto"/>
          <w:sz w:val="28"/>
          <w:szCs w:val="28"/>
          <w:lang w:eastAsia="uk-UA"/>
        </w:rPr>
        <w:t xml:space="preserve"> наук</w:t>
      </w:r>
      <w:r w:rsidR="002276E9" w:rsidRPr="00E87CD9">
        <w:rPr>
          <w:rStyle w:val="A20"/>
          <w:rFonts w:ascii="Times New Roman" w:hAnsi="Times New Roman" w:cs="Times New Roman"/>
          <w:b w:val="0"/>
          <w:color w:val="auto"/>
          <w:sz w:val="28"/>
          <w:szCs w:val="28"/>
          <w:lang w:eastAsia="uk-UA"/>
        </w:rPr>
        <w:t>ово</w:t>
      </w:r>
      <w:r w:rsidRPr="00E87CD9">
        <w:rPr>
          <w:rStyle w:val="A20"/>
          <w:rFonts w:ascii="Times New Roman" w:hAnsi="Times New Roman" w:cs="Times New Roman"/>
          <w:b w:val="0"/>
          <w:color w:val="auto"/>
          <w:sz w:val="28"/>
          <w:szCs w:val="28"/>
          <w:lang w:eastAsia="uk-UA"/>
        </w:rPr>
        <w:t>-практ</w:t>
      </w:r>
      <w:r w:rsidR="002276E9" w:rsidRPr="00E87CD9">
        <w:rPr>
          <w:rStyle w:val="A20"/>
          <w:rFonts w:ascii="Times New Roman" w:hAnsi="Times New Roman" w:cs="Times New Roman"/>
          <w:b w:val="0"/>
          <w:color w:val="auto"/>
          <w:sz w:val="28"/>
          <w:szCs w:val="28"/>
          <w:lang w:eastAsia="uk-UA"/>
        </w:rPr>
        <w:t>ичної</w:t>
      </w:r>
      <w:r w:rsidRPr="00E87CD9">
        <w:rPr>
          <w:rStyle w:val="A20"/>
          <w:rFonts w:ascii="Times New Roman" w:hAnsi="Times New Roman" w:cs="Times New Roman"/>
          <w:b w:val="0"/>
          <w:color w:val="auto"/>
          <w:sz w:val="28"/>
          <w:szCs w:val="28"/>
          <w:lang w:eastAsia="uk-UA"/>
        </w:rPr>
        <w:t xml:space="preserve"> інтернет-конф</w:t>
      </w:r>
      <w:r w:rsidR="002276E9" w:rsidRPr="00E87CD9">
        <w:rPr>
          <w:rStyle w:val="A20"/>
          <w:rFonts w:ascii="Times New Roman" w:hAnsi="Times New Roman" w:cs="Times New Roman"/>
          <w:b w:val="0"/>
          <w:color w:val="auto"/>
          <w:sz w:val="28"/>
          <w:szCs w:val="28"/>
          <w:lang w:eastAsia="uk-UA"/>
        </w:rPr>
        <w:t>еренції</w:t>
      </w:r>
      <w:r w:rsidRPr="00E87CD9">
        <w:rPr>
          <w:rStyle w:val="A20"/>
          <w:rFonts w:ascii="Times New Roman" w:hAnsi="Times New Roman" w:cs="Times New Roman"/>
          <w:b w:val="0"/>
          <w:color w:val="auto"/>
          <w:sz w:val="28"/>
          <w:szCs w:val="28"/>
          <w:lang w:eastAsia="uk-UA"/>
        </w:rPr>
        <w:t xml:space="preserve"> (27 листопада 2019 р.) / за ред. В.І. Федіва – Чернівці: БДМУ, 2019. – 390 с. - </w:t>
      </w:r>
      <w:r w:rsidRPr="00E87CD9">
        <w:rPr>
          <w:rStyle w:val="af5"/>
          <w:b w:val="0"/>
          <w:color w:val="auto"/>
          <w:sz w:val="28"/>
          <w:szCs w:val="28"/>
          <w:lang w:eastAsia="uk-UA"/>
        </w:rPr>
        <w:t>С. 85-86.</w:t>
      </w:r>
    </w:p>
    <w:p w:rsidR="00B40101" w:rsidRPr="00E87CD9" w:rsidRDefault="00B40101" w:rsidP="00C50740">
      <w:pPr>
        <w:numPr>
          <w:ilvl w:val="0"/>
          <w:numId w:val="8"/>
        </w:numPr>
        <w:suppressAutoHyphens/>
        <w:autoSpaceDN w:val="0"/>
        <w:ind w:left="0" w:firstLine="709"/>
        <w:jc w:val="both"/>
        <w:rPr>
          <w:b/>
          <w:color w:val="auto"/>
          <w:sz w:val="28"/>
          <w:szCs w:val="28"/>
        </w:rPr>
      </w:pPr>
      <w:r w:rsidRPr="00E87CD9">
        <w:rPr>
          <w:rStyle w:val="A20"/>
          <w:rFonts w:ascii="Times New Roman" w:hAnsi="Times New Roman" w:cs="Times New Roman"/>
          <w:b w:val="0"/>
          <w:color w:val="auto"/>
          <w:sz w:val="28"/>
          <w:szCs w:val="28"/>
        </w:rPr>
        <w:t>Носівець Д.С. Біохімічні зміни маркерів запалення у сироватці крові щурів при призначені НПЗЗ та парацетамолу на тлі остеоартрозу та гіпотиреозу. «Ліки – людині. Сучасні проблеми фармакотерапії і призначення лікарських засобів»: матеріали ІV Міжнар</w:t>
      </w:r>
      <w:r w:rsidR="002276E9" w:rsidRPr="00E87CD9">
        <w:rPr>
          <w:rStyle w:val="A20"/>
          <w:rFonts w:ascii="Times New Roman" w:hAnsi="Times New Roman" w:cs="Times New Roman"/>
          <w:b w:val="0"/>
          <w:color w:val="auto"/>
          <w:sz w:val="28"/>
          <w:szCs w:val="28"/>
        </w:rPr>
        <w:t>одної</w:t>
      </w:r>
      <w:r w:rsidRPr="00E87CD9">
        <w:rPr>
          <w:rStyle w:val="A20"/>
          <w:rFonts w:ascii="Times New Roman" w:hAnsi="Times New Roman" w:cs="Times New Roman"/>
          <w:b w:val="0"/>
          <w:color w:val="auto"/>
          <w:sz w:val="28"/>
          <w:szCs w:val="28"/>
        </w:rPr>
        <w:t xml:space="preserve"> наук</w:t>
      </w:r>
      <w:r w:rsidR="002276E9" w:rsidRPr="00E87CD9">
        <w:rPr>
          <w:rStyle w:val="A20"/>
          <w:rFonts w:ascii="Times New Roman" w:hAnsi="Times New Roman" w:cs="Times New Roman"/>
          <w:b w:val="0"/>
          <w:color w:val="auto"/>
          <w:sz w:val="28"/>
          <w:szCs w:val="28"/>
        </w:rPr>
        <w:t>ово</w:t>
      </w:r>
      <w:r w:rsidRPr="00E87CD9">
        <w:rPr>
          <w:rStyle w:val="A20"/>
          <w:rFonts w:ascii="Times New Roman" w:hAnsi="Times New Roman" w:cs="Times New Roman"/>
          <w:b w:val="0"/>
          <w:color w:val="auto"/>
          <w:sz w:val="28"/>
          <w:szCs w:val="28"/>
        </w:rPr>
        <w:t>-практ</w:t>
      </w:r>
      <w:r w:rsidR="002276E9" w:rsidRPr="00E87CD9">
        <w:rPr>
          <w:rStyle w:val="A20"/>
          <w:rFonts w:ascii="Times New Roman" w:hAnsi="Times New Roman" w:cs="Times New Roman"/>
          <w:b w:val="0"/>
          <w:color w:val="auto"/>
          <w:sz w:val="28"/>
          <w:szCs w:val="28"/>
        </w:rPr>
        <w:t>ичної</w:t>
      </w:r>
      <w:r w:rsidRPr="00E87CD9">
        <w:rPr>
          <w:rStyle w:val="A20"/>
          <w:rFonts w:ascii="Times New Roman" w:hAnsi="Times New Roman" w:cs="Times New Roman"/>
          <w:b w:val="0"/>
          <w:color w:val="auto"/>
          <w:sz w:val="28"/>
          <w:szCs w:val="28"/>
        </w:rPr>
        <w:t xml:space="preserve"> конф</w:t>
      </w:r>
      <w:r w:rsidR="002276E9" w:rsidRPr="00E87CD9">
        <w:rPr>
          <w:rStyle w:val="A20"/>
          <w:rFonts w:ascii="Times New Roman" w:hAnsi="Times New Roman" w:cs="Times New Roman"/>
          <w:b w:val="0"/>
          <w:color w:val="auto"/>
          <w:sz w:val="28"/>
          <w:szCs w:val="28"/>
        </w:rPr>
        <w:t>еренції</w:t>
      </w:r>
      <w:r w:rsidRPr="00E87CD9">
        <w:rPr>
          <w:rStyle w:val="A20"/>
          <w:rFonts w:ascii="Times New Roman" w:hAnsi="Times New Roman" w:cs="Times New Roman"/>
          <w:b w:val="0"/>
          <w:color w:val="auto"/>
          <w:sz w:val="28"/>
          <w:szCs w:val="28"/>
        </w:rPr>
        <w:t xml:space="preserve"> (12-13 березня 2020 року) / у 2-х т. – Харків: НФаУ, 2020. – Т. 2. – 696 с. – (Серія «Наука»). - С. 410-411.</w:t>
      </w:r>
    </w:p>
    <w:p w:rsidR="003D2EE8" w:rsidRPr="00E87CD9" w:rsidRDefault="00B40101" w:rsidP="00C50740">
      <w:pPr>
        <w:numPr>
          <w:ilvl w:val="0"/>
          <w:numId w:val="8"/>
        </w:numPr>
        <w:suppressAutoHyphens/>
        <w:autoSpaceDN w:val="0"/>
        <w:ind w:left="0" w:firstLine="709"/>
        <w:jc w:val="both"/>
        <w:rPr>
          <w:rStyle w:val="a3"/>
          <w:color w:val="auto"/>
          <w:sz w:val="28"/>
          <w:szCs w:val="28"/>
          <w:u w:val="none"/>
        </w:rPr>
      </w:pPr>
      <w:r w:rsidRPr="00E87CD9">
        <w:rPr>
          <w:rStyle w:val="A20"/>
          <w:rFonts w:ascii="Times New Roman" w:hAnsi="Times New Roman" w:cs="Times New Roman"/>
          <w:b w:val="0"/>
          <w:color w:val="auto"/>
          <w:kern w:val="2"/>
          <w:sz w:val="28"/>
          <w:szCs w:val="28"/>
          <w:lang w:bidi="hi-IN"/>
        </w:rPr>
        <w:lastRenderedPageBreak/>
        <w:t xml:space="preserve">Носівець Д.С. </w:t>
      </w:r>
      <w:r w:rsidRPr="00E87CD9">
        <w:rPr>
          <w:rStyle w:val="a3"/>
          <w:bCs/>
          <w:color w:val="auto"/>
          <w:kern w:val="2"/>
          <w:sz w:val="28"/>
          <w:szCs w:val="28"/>
          <w:u w:val="none"/>
          <w:lang w:bidi="hi-IN"/>
        </w:rPr>
        <w:t xml:space="preserve">Іноваційні заходи лікування проявів остеоартрозу внаслідок функціональної недостатності щитоподібної залози. Сучасний стан та перспективи розвитку природничих дисциплін в медичній освіті: </w:t>
      </w:r>
      <w:r w:rsidR="006270F5" w:rsidRPr="00E87CD9">
        <w:rPr>
          <w:rStyle w:val="af5"/>
          <w:rFonts w:eastAsia="Tahoma"/>
          <w:b w:val="0"/>
          <w:color w:val="auto"/>
          <w:sz w:val="28"/>
          <w:szCs w:val="28"/>
        </w:rPr>
        <w:t>Матеріали</w:t>
      </w:r>
      <w:r w:rsidRPr="00E87CD9">
        <w:rPr>
          <w:rStyle w:val="a3"/>
          <w:bCs/>
          <w:color w:val="auto"/>
          <w:kern w:val="2"/>
          <w:sz w:val="28"/>
          <w:szCs w:val="28"/>
          <w:u w:val="none"/>
          <w:lang w:bidi="hi-IN"/>
        </w:rPr>
        <w:t xml:space="preserve"> Всеукр</w:t>
      </w:r>
      <w:r w:rsidR="002276E9" w:rsidRPr="00E87CD9">
        <w:rPr>
          <w:rStyle w:val="a3"/>
          <w:bCs/>
          <w:color w:val="auto"/>
          <w:kern w:val="2"/>
          <w:sz w:val="28"/>
          <w:szCs w:val="28"/>
          <w:u w:val="none"/>
          <w:lang w:bidi="hi-IN"/>
        </w:rPr>
        <w:t>аїнської</w:t>
      </w:r>
      <w:r w:rsidRPr="00E87CD9">
        <w:rPr>
          <w:rStyle w:val="a3"/>
          <w:bCs/>
          <w:color w:val="auto"/>
          <w:kern w:val="2"/>
          <w:sz w:val="28"/>
          <w:szCs w:val="28"/>
          <w:u w:val="none"/>
          <w:lang w:bidi="hi-IN"/>
        </w:rPr>
        <w:t xml:space="preserve"> наук</w:t>
      </w:r>
      <w:r w:rsidR="002276E9" w:rsidRPr="00E87CD9">
        <w:rPr>
          <w:rStyle w:val="a3"/>
          <w:bCs/>
          <w:color w:val="auto"/>
          <w:kern w:val="2"/>
          <w:sz w:val="28"/>
          <w:szCs w:val="28"/>
          <w:u w:val="none"/>
          <w:lang w:bidi="hi-IN"/>
        </w:rPr>
        <w:t>ово</w:t>
      </w:r>
      <w:r w:rsidRPr="00E87CD9">
        <w:rPr>
          <w:rStyle w:val="a3"/>
          <w:bCs/>
          <w:color w:val="auto"/>
          <w:kern w:val="2"/>
          <w:sz w:val="28"/>
          <w:szCs w:val="28"/>
          <w:u w:val="none"/>
          <w:lang w:bidi="hi-IN"/>
        </w:rPr>
        <w:t>-практич</w:t>
      </w:r>
      <w:r w:rsidR="002276E9" w:rsidRPr="00E87CD9">
        <w:rPr>
          <w:rStyle w:val="a3"/>
          <w:bCs/>
          <w:color w:val="auto"/>
          <w:kern w:val="2"/>
          <w:sz w:val="28"/>
          <w:szCs w:val="28"/>
          <w:u w:val="none"/>
          <w:lang w:bidi="hi-IN"/>
        </w:rPr>
        <w:t>ної</w:t>
      </w:r>
      <w:r w:rsidRPr="00E87CD9">
        <w:rPr>
          <w:rStyle w:val="a3"/>
          <w:bCs/>
          <w:color w:val="auto"/>
          <w:kern w:val="2"/>
          <w:sz w:val="28"/>
          <w:szCs w:val="28"/>
          <w:u w:val="none"/>
          <w:lang w:bidi="hi-IN"/>
        </w:rPr>
        <w:t xml:space="preserve"> інтернет-конф</w:t>
      </w:r>
      <w:r w:rsidR="002276E9" w:rsidRPr="00E87CD9">
        <w:rPr>
          <w:rStyle w:val="a3"/>
          <w:bCs/>
          <w:color w:val="auto"/>
          <w:kern w:val="2"/>
          <w:sz w:val="28"/>
          <w:szCs w:val="28"/>
          <w:u w:val="none"/>
          <w:lang w:bidi="hi-IN"/>
        </w:rPr>
        <w:t>еренції</w:t>
      </w:r>
      <w:r w:rsidRPr="00E87CD9">
        <w:rPr>
          <w:rStyle w:val="a3"/>
          <w:bCs/>
          <w:color w:val="auto"/>
          <w:kern w:val="2"/>
          <w:sz w:val="28"/>
          <w:szCs w:val="28"/>
          <w:u w:val="none"/>
          <w:lang w:bidi="hi-IN"/>
        </w:rPr>
        <w:t>, м. Кропивницький, 20 березня 2020 р. / за ред. Л. П. Суховірської – Кропивницький, 2020 р. – 196 с. - С. 114-117.</w:t>
      </w:r>
    </w:p>
    <w:p w:rsidR="00C50740" w:rsidRPr="00E87CD9" w:rsidRDefault="00DA4DA4" w:rsidP="00C50740">
      <w:pPr>
        <w:numPr>
          <w:ilvl w:val="0"/>
          <w:numId w:val="8"/>
        </w:numPr>
        <w:suppressAutoHyphens/>
        <w:autoSpaceDN w:val="0"/>
        <w:ind w:left="0" w:firstLine="709"/>
        <w:jc w:val="both"/>
        <w:rPr>
          <w:bCs/>
          <w:color w:val="auto"/>
          <w:sz w:val="28"/>
          <w:szCs w:val="28"/>
        </w:rPr>
      </w:pPr>
      <w:r w:rsidRPr="00E87CD9">
        <w:rPr>
          <w:bCs/>
          <w:color w:val="auto"/>
          <w:sz w:val="28"/>
          <w:szCs w:val="28"/>
        </w:rPr>
        <w:t>Носівець Д.С. Використання комбінованого засобу: диклофенак натрію, хондроїтин сульфат та L-тироксин при остеоартрозі на фоні гіпотиреозу.</w:t>
      </w:r>
      <w:r w:rsidR="00C50740" w:rsidRPr="00E87CD9">
        <w:rPr>
          <w:rStyle w:val="A20"/>
          <w:rFonts w:ascii="Times New Roman" w:hAnsi="Times New Roman" w:cs="Times New Roman"/>
          <w:b w:val="0"/>
          <w:color w:val="auto"/>
          <w:sz w:val="28"/>
          <w:szCs w:val="28"/>
        </w:rPr>
        <w:t xml:space="preserve">«Ліки – людині. Сучасні проблеми фармакотерапії </w:t>
      </w:r>
      <w:r w:rsidR="008469C4" w:rsidRPr="00E87CD9">
        <w:rPr>
          <w:rStyle w:val="A20"/>
          <w:rFonts w:ascii="Times New Roman" w:hAnsi="Times New Roman" w:cs="Times New Roman"/>
          <w:b w:val="0"/>
          <w:color w:val="auto"/>
          <w:sz w:val="28"/>
          <w:szCs w:val="28"/>
        </w:rPr>
        <w:t>та</w:t>
      </w:r>
      <w:r w:rsidR="00C50740" w:rsidRPr="00E87CD9">
        <w:rPr>
          <w:rStyle w:val="A20"/>
          <w:rFonts w:ascii="Times New Roman" w:hAnsi="Times New Roman" w:cs="Times New Roman"/>
          <w:b w:val="0"/>
          <w:color w:val="auto"/>
          <w:sz w:val="28"/>
          <w:szCs w:val="28"/>
        </w:rPr>
        <w:t xml:space="preserve"> призначення лікарських засобів»: матеріали V Міжнар</w:t>
      </w:r>
      <w:r w:rsidR="002276E9" w:rsidRPr="00E87CD9">
        <w:rPr>
          <w:rStyle w:val="A20"/>
          <w:rFonts w:ascii="Times New Roman" w:hAnsi="Times New Roman" w:cs="Times New Roman"/>
          <w:b w:val="0"/>
          <w:color w:val="auto"/>
          <w:sz w:val="28"/>
          <w:szCs w:val="28"/>
        </w:rPr>
        <w:t>одної</w:t>
      </w:r>
      <w:r w:rsidR="00C50740" w:rsidRPr="00E87CD9">
        <w:rPr>
          <w:rStyle w:val="A20"/>
          <w:rFonts w:ascii="Times New Roman" w:hAnsi="Times New Roman" w:cs="Times New Roman"/>
          <w:b w:val="0"/>
          <w:color w:val="auto"/>
          <w:sz w:val="28"/>
          <w:szCs w:val="28"/>
        </w:rPr>
        <w:t xml:space="preserve"> наук</w:t>
      </w:r>
      <w:r w:rsidR="002276E9" w:rsidRPr="00E87CD9">
        <w:rPr>
          <w:rStyle w:val="A20"/>
          <w:rFonts w:ascii="Times New Roman" w:hAnsi="Times New Roman" w:cs="Times New Roman"/>
          <w:b w:val="0"/>
          <w:color w:val="auto"/>
          <w:sz w:val="28"/>
          <w:szCs w:val="28"/>
        </w:rPr>
        <w:t>ово</w:t>
      </w:r>
      <w:r w:rsidR="00C50740" w:rsidRPr="00E87CD9">
        <w:rPr>
          <w:rStyle w:val="A20"/>
          <w:rFonts w:ascii="Times New Roman" w:hAnsi="Times New Roman" w:cs="Times New Roman"/>
          <w:b w:val="0"/>
          <w:color w:val="auto"/>
          <w:sz w:val="28"/>
          <w:szCs w:val="28"/>
        </w:rPr>
        <w:t>-практ</w:t>
      </w:r>
      <w:r w:rsidR="002276E9" w:rsidRPr="00E87CD9">
        <w:rPr>
          <w:rStyle w:val="A20"/>
          <w:rFonts w:ascii="Times New Roman" w:hAnsi="Times New Roman" w:cs="Times New Roman"/>
          <w:b w:val="0"/>
          <w:color w:val="auto"/>
          <w:sz w:val="28"/>
          <w:szCs w:val="28"/>
        </w:rPr>
        <w:t>ичної</w:t>
      </w:r>
      <w:r w:rsidR="00C50740" w:rsidRPr="00E87CD9">
        <w:rPr>
          <w:rStyle w:val="A20"/>
          <w:rFonts w:ascii="Times New Roman" w:hAnsi="Times New Roman" w:cs="Times New Roman"/>
          <w:b w:val="0"/>
          <w:color w:val="auto"/>
          <w:sz w:val="28"/>
          <w:szCs w:val="28"/>
        </w:rPr>
        <w:t xml:space="preserve"> конф</w:t>
      </w:r>
      <w:r w:rsidR="002276E9" w:rsidRPr="00E87CD9">
        <w:rPr>
          <w:rStyle w:val="A20"/>
          <w:rFonts w:ascii="Times New Roman" w:hAnsi="Times New Roman" w:cs="Times New Roman"/>
          <w:b w:val="0"/>
          <w:color w:val="auto"/>
          <w:sz w:val="28"/>
          <w:szCs w:val="28"/>
        </w:rPr>
        <w:t>еренції</w:t>
      </w:r>
      <w:r w:rsidR="00C50740" w:rsidRPr="00E87CD9">
        <w:rPr>
          <w:rStyle w:val="A20"/>
          <w:rFonts w:ascii="Times New Roman" w:hAnsi="Times New Roman" w:cs="Times New Roman"/>
          <w:b w:val="0"/>
          <w:color w:val="auto"/>
          <w:sz w:val="28"/>
          <w:szCs w:val="28"/>
        </w:rPr>
        <w:t xml:space="preserve"> (11-12 березня 2021 року)– Харків: НФаУ, 2021. – </w:t>
      </w:r>
      <w:r w:rsidR="008469C4" w:rsidRPr="00E87CD9">
        <w:rPr>
          <w:rStyle w:val="A20"/>
          <w:rFonts w:ascii="Times New Roman" w:hAnsi="Times New Roman" w:cs="Times New Roman"/>
          <w:b w:val="0"/>
          <w:color w:val="auto"/>
          <w:sz w:val="28"/>
          <w:szCs w:val="28"/>
        </w:rPr>
        <w:t>918</w:t>
      </w:r>
      <w:r w:rsidR="00C50740" w:rsidRPr="00E87CD9">
        <w:rPr>
          <w:rStyle w:val="A20"/>
          <w:rFonts w:ascii="Times New Roman" w:hAnsi="Times New Roman" w:cs="Times New Roman"/>
          <w:b w:val="0"/>
          <w:color w:val="auto"/>
          <w:sz w:val="28"/>
          <w:szCs w:val="28"/>
        </w:rPr>
        <w:t xml:space="preserve"> с. – С.</w:t>
      </w:r>
      <w:r w:rsidR="008469C4" w:rsidRPr="00E87CD9">
        <w:rPr>
          <w:rStyle w:val="A20"/>
          <w:rFonts w:ascii="Times New Roman" w:hAnsi="Times New Roman" w:cs="Times New Roman"/>
          <w:b w:val="0"/>
          <w:color w:val="auto"/>
          <w:sz w:val="28"/>
          <w:szCs w:val="28"/>
        </w:rPr>
        <w:t xml:space="preserve"> 616-618.</w:t>
      </w:r>
    </w:p>
    <w:p w:rsidR="00DA4DA4" w:rsidRPr="00E87CD9" w:rsidRDefault="00DA4DA4" w:rsidP="00C50740">
      <w:pPr>
        <w:pStyle w:val="af3"/>
        <w:numPr>
          <w:ilvl w:val="0"/>
          <w:numId w:val="8"/>
        </w:numPr>
        <w:suppressAutoHyphens/>
        <w:autoSpaceDN w:val="0"/>
        <w:ind w:left="0" w:right="0" w:firstLine="709"/>
        <w:rPr>
          <w:color w:val="auto"/>
          <w:sz w:val="28"/>
          <w:szCs w:val="28"/>
        </w:rPr>
      </w:pPr>
      <w:r w:rsidRPr="00E87CD9">
        <w:rPr>
          <w:bCs/>
          <w:color w:val="auto"/>
          <w:sz w:val="28"/>
          <w:szCs w:val="28"/>
        </w:rPr>
        <w:t xml:space="preserve">Носівець Д.С. </w:t>
      </w:r>
      <w:r w:rsidRPr="00E87CD9">
        <w:rPr>
          <w:color w:val="auto"/>
          <w:sz w:val="28"/>
          <w:szCs w:val="28"/>
        </w:rPr>
        <w:t xml:space="preserve">Іноваційні заходи лікування остеоартриту на фоні гіпофункції щитоподібної залози. </w:t>
      </w:r>
      <w:r w:rsidRPr="00E87CD9">
        <w:rPr>
          <w:rStyle w:val="a3"/>
          <w:bCs/>
          <w:color w:val="auto"/>
          <w:kern w:val="2"/>
          <w:sz w:val="28"/>
          <w:szCs w:val="28"/>
          <w:u w:val="none"/>
          <w:lang w:bidi="hi-IN"/>
        </w:rPr>
        <w:t xml:space="preserve">Сучасний стан та перспективи розвитку природничих дисциплін в медичній освіті: </w:t>
      </w:r>
      <w:r w:rsidR="006270F5" w:rsidRPr="00E87CD9">
        <w:rPr>
          <w:rStyle w:val="af5"/>
          <w:rFonts w:eastAsia="Tahoma"/>
          <w:b w:val="0"/>
          <w:color w:val="auto"/>
          <w:sz w:val="28"/>
          <w:szCs w:val="28"/>
        </w:rPr>
        <w:t>Матеріали</w:t>
      </w:r>
      <w:r w:rsidRPr="00E87CD9">
        <w:rPr>
          <w:rStyle w:val="a3"/>
          <w:bCs/>
          <w:color w:val="auto"/>
          <w:kern w:val="2"/>
          <w:sz w:val="28"/>
          <w:szCs w:val="28"/>
          <w:u w:val="none"/>
          <w:lang w:bidi="hi-IN"/>
        </w:rPr>
        <w:t xml:space="preserve"> ІІ Всеукр</w:t>
      </w:r>
      <w:r w:rsidR="002276E9" w:rsidRPr="00E87CD9">
        <w:rPr>
          <w:rStyle w:val="a3"/>
          <w:bCs/>
          <w:color w:val="auto"/>
          <w:kern w:val="2"/>
          <w:sz w:val="28"/>
          <w:szCs w:val="28"/>
          <w:u w:val="none"/>
          <w:lang w:bidi="hi-IN"/>
        </w:rPr>
        <w:t>аїнської</w:t>
      </w:r>
      <w:r w:rsidRPr="00E87CD9">
        <w:rPr>
          <w:rStyle w:val="a3"/>
          <w:bCs/>
          <w:color w:val="auto"/>
          <w:kern w:val="2"/>
          <w:sz w:val="28"/>
          <w:szCs w:val="28"/>
          <w:u w:val="none"/>
          <w:lang w:bidi="hi-IN"/>
        </w:rPr>
        <w:t xml:space="preserve"> наук</w:t>
      </w:r>
      <w:r w:rsidR="002276E9" w:rsidRPr="00E87CD9">
        <w:rPr>
          <w:rStyle w:val="a3"/>
          <w:bCs/>
          <w:color w:val="auto"/>
          <w:kern w:val="2"/>
          <w:sz w:val="28"/>
          <w:szCs w:val="28"/>
          <w:u w:val="none"/>
          <w:lang w:bidi="hi-IN"/>
        </w:rPr>
        <w:t>ово</w:t>
      </w:r>
      <w:r w:rsidRPr="00E87CD9">
        <w:rPr>
          <w:rStyle w:val="a3"/>
          <w:bCs/>
          <w:color w:val="auto"/>
          <w:kern w:val="2"/>
          <w:sz w:val="28"/>
          <w:szCs w:val="28"/>
          <w:u w:val="none"/>
          <w:lang w:bidi="hi-IN"/>
        </w:rPr>
        <w:t>-практич</w:t>
      </w:r>
      <w:r w:rsidR="002276E9" w:rsidRPr="00E87CD9">
        <w:rPr>
          <w:rStyle w:val="a3"/>
          <w:bCs/>
          <w:color w:val="auto"/>
          <w:kern w:val="2"/>
          <w:sz w:val="28"/>
          <w:szCs w:val="28"/>
          <w:u w:val="none"/>
          <w:lang w:bidi="hi-IN"/>
        </w:rPr>
        <w:t>ної</w:t>
      </w:r>
      <w:r w:rsidRPr="00E87CD9">
        <w:rPr>
          <w:rStyle w:val="a3"/>
          <w:bCs/>
          <w:color w:val="auto"/>
          <w:kern w:val="2"/>
          <w:sz w:val="28"/>
          <w:szCs w:val="28"/>
          <w:u w:val="none"/>
          <w:lang w:bidi="hi-IN"/>
        </w:rPr>
        <w:t xml:space="preserve"> інтернет-конф</w:t>
      </w:r>
      <w:r w:rsidR="002276E9" w:rsidRPr="00E87CD9">
        <w:rPr>
          <w:rStyle w:val="a3"/>
          <w:bCs/>
          <w:color w:val="auto"/>
          <w:kern w:val="2"/>
          <w:sz w:val="28"/>
          <w:szCs w:val="28"/>
          <w:u w:val="none"/>
          <w:lang w:bidi="hi-IN"/>
        </w:rPr>
        <w:t>еренції</w:t>
      </w:r>
      <w:r w:rsidRPr="00E87CD9">
        <w:rPr>
          <w:rStyle w:val="a3"/>
          <w:bCs/>
          <w:color w:val="auto"/>
          <w:kern w:val="2"/>
          <w:sz w:val="28"/>
          <w:szCs w:val="28"/>
          <w:u w:val="none"/>
          <w:lang w:bidi="hi-IN"/>
        </w:rPr>
        <w:t>, м. Кропивницький, 19 березня 2021 р. / за ред. Л. П. Суховірської – Кропивницький, 2021 р. –</w:t>
      </w:r>
      <w:r w:rsidR="00424423" w:rsidRPr="00E87CD9">
        <w:rPr>
          <w:rStyle w:val="a3"/>
          <w:bCs/>
          <w:color w:val="auto"/>
          <w:kern w:val="2"/>
          <w:sz w:val="28"/>
          <w:szCs w:val="28"/>
          <w:u w:val="none"/>
          <w:lang w:bidi="hi-IN"/>
        </w:rPr>
        <w:t>2</w:t>
      </w:r>
      <w:r w:rsidRPr="00E87CD9">
        <w:rPr>
          <w:rStyle w:val="a3"/>
          <w:bCs/>
          <w:color w:val="auto"/>
          <w:kern w:val="2"/>
          <w:sz w:val="28"/>
          <w:szCs w:val="28"/>
          <w:u w:val="none"/>
          <w:lang w:bidi="hi-IN"/>
        </w:rPr>
        <w:t>96 с. - С.</w:t>
      </w:r>
      <w:r w:rsidR="00424423" w:rsidRPr="00E87CD9">
        <w:rPr>
          <w:rStyle w:val="a3"/>
          <w:bCs/>
          <w:color w:val="auto"/>
          <w:kern w:val="2"/>
          <w:sz w:val="28"/>
          <w:szCs w:val="28"/>
          <w:u w:val="none"/>
          <w:lang w:bidi="hi-IN"/>
        </w:rPr>
        <w:t xml:space="preserve"> 327-239.</w:t>
      </w:r>
    </w:p>
    <w:p w:rsidR="004A6239" w:rsidRPr="00E87CD9" w:rsidRDefault="004A6239" w:rsidP="00417DC7">
      <w:pPr>
        <w:pStyle w:val="1"/>
        <w:ind w:left="0" w:firstLine="709"/>
        <w:rPr>
          <w:color w:val="auto"/>
        </w:rPr>
      </w:pPr>
    </w:p>
    <w:p w:rsidR="00417DC7" w:rsidRPr="00E87CD9" w:rsidRDefault="00417DC7" w:rsidP="00417DC7">
      <w:pPr>
        <w:pStyle w:val="1"/>
        <w:ind w:left="0" w:firstLine="709"/>
        <w:rPr>
          <w:color w:val="auto"/>
        </w:rPr>
      </w:pPr>
      <w:r w:rsidRPr="00E87CD9">
        <w:rPr>
          <w:color w:val="auto"/>
        </w:rPr>
        <w:t>АНОТАЦІЯ</w:t>
      </w:r>
    </w:p>
    <w:p w:rsidR="00417DC7" w:rsidRPr="00E87CD9" w:rsidRDefault="00417DC7" w:rsidP="00EF523C">
      <w:pPr>
        <w:pStyle w:val="western"/>
        <w:spacing w:before="0" w:after="0" w:line="240" w:lineRule="auto"/>
        <w:jc w:val="both"/>
        <w:rPr>
          <w:rFonts w:ascii="Times New Roman" w:hAnsi="Times New Roman" w:cs="Times New Roman"/>
          <w:b/>
          <w:color w:val="auto"/>
          <w:sz w:val="28"/>
          <w:szCs w:val="28"/>
        </w:rPr>
      </w:pPr>
      <w:r w:rsidRPr="00E87CD9">
        <w:rPr>
          <w:rFonts w:ascii="Times New Roman" w:hAnsi="Times New Roman" w:cs="Times New Roman"/>
          <w:b/>
          <w:bCs/>
          <w:iCs/>
          <w:color w:val="auto"/>
          <w:sz w:val="28"/>
          <w:szCs w:val="28"/>
        </w:rPr>
        <w:t>Носівець Д.С.</w:t>
      </w:r>
      <w:r w:rsidR="00EF523C" w:rsidRPr="00E87CD9">
        <w:rPr>
          <w:rFonts w:ascii="Times New Roman" w:hAnsi="Times New Roman" w:cs="Times New Roman"/>
          <w:b/>
          <w:color w:val="auto"/>
          <w:sz w:val="28"/>
          <w:szCs w:val="28"/>
        </w:rPr>
        <w:t xml:space="preserve">Фармакологічний аналіз знеболення та хондропротекції за умов експериментального </w:t>
      </w:r>
      <w:r w:rsidR="00EF523C" w:rsidRPr="00E87CD9">
        <w:rPr>
          <w:b/>
          <w:color w:val="auto"/>
          <w:sz w:val="28"/>
          <w:szCs w:val="28"/>
        </w:rPr>
        <w:t>остеоартрозу на тлі гіпотиреозу</w:t>
      </w:r>
      <w:r w:rsidRPr="00E87CD9">
        <w:rPr>
          <w:rFonts w:ascii="Times New Roman" w:hAnsi="Times New Roman" w:cs="Times New Roman"/>
          <w:b/>
          <w:bCs/>
          <w:color w:val="auto"/>
          <w:sz w:val="28"/>
          <w:szCs w:val="28"/>
        </w:rPr>
        <w:t xml:space="preserve">. – </w:t>
      </w:r>
      <w:r w:rsidRPr="00E87CD9">
        <w:rPr>
          <w:rFonts w:ascii="Times New Roman" w:hAnsi="Times New Roman" w:cs="Times New Roman"/>
          <w:b/>
          <w:bCs/>
          <w:color w:val="auto"/>
          <w:spacing w:val="8"/>
          <w:sz w:val="28"/>
          <w:szCs w:val="28"/>
        </w:rPr>
        <w:t>На правах рукопису.</w:t>
      </w:r>
    </w:p>
    <w:p w:rsidR="00417DC7" w:rsidRPr="00E87CD9" w:rsidRDefault="00417DC7" w:rsidP="00417DC7">
      <w:pPr>
        <w:pStyle w:val="af3"/>
        <w:numPr>
          <w:ilvl w:val="0"/>
          <w:numId w:val="10"/>
        </w:numPr>
        <w:ind w:right="0" w:firstLine="709"/>
        <w:rPr>
          <w:color w:val="auto"/>
          <w:sz w:val="28"/>
          <w:szCs w:val="28"/>
        </w:rPr>
      </w:pPr>
      <w:r w:rsidRPr="00E87CD9">
        <w:rPr>
          <w:color w:val="auto"/>
          <w:sz w:val="28"/>
          <w:szCs w:val="28"/>
        </w:rPr>
        <w:t xml:space="preserve">Дисертація на здобуття наукового ступеня доктора медичних наук за спеціальністю 14.03.05 – фармакологія. </w:t>
      </w:r>
      <w:r w:rsidRPr="00E87CD9">
        <w:rPr>
          <w:color w:val="auto"/>
          <w:sz w:val="28"/>
          <w:szCs w:val="28"/>
          <w:lang w:eastAsia="ar-SA"/>
        </w:rPr>
        <w:t>–</w:t>
      </w:r>
      <w:r w:rsidRPr="00E87CD9">
        <w:rPr>
          <w:color w:val="auto"/>
          <w:sz w:val="28"/>
          <w:szCs w:val="28"/>
        </w:rPr>
        <w:t xml:space="preserve"> Державна у</w:t>
      </w:r>
      <w:r w:rsidR="0083235D" w:rsidRPr="00E87CD9">
        <w:rPr>
          <w:color w:val="auto"/>
          <w:sz w:val="28"/>
          <w:szCs w:val="28"/>
        </w:rPr>
        <w:t>станова «Інститут фармакології та</w:t>
      </w:r>
      <w:r w:rsidRPr="00E87CD9">
        <w:rPr>
          <w:color w:val="auto"/>
          <w:sz w:val="28"/>
          <w:szCs w:val="28"/>
        </w:rPr>
        <w:t xml:space="preserve"> токсикології НАМН України», Київ, 2021.</w:t>
      </w:r>
    </w:p>
    <w:p w:rsidR="003709F0" w:rsidRPr="00E87CD9" w:rsidRDefault="00417DC7" w:rsidP="003709F0">
      <w:pPr>
        <w:ind w:firstLine="709"/>
        <w:jc w:val="both"/>
        <w:rPr>
          <w:rStyle w:val="Default20Paragraph20Font"/>
          <w:bCs/>
          <w:color w:val="auto"/>
          <w:sz w:val="28"/>
          <w:szCs w:val="28"/>
        </w:rPr>
      </w:pPr>
      <w:r w:rsidRPr="00E87CD9">
        <w:rPr>
          <w:bCs/>
          <w:color w:val="auto"/>
          <w:sz w:val="28"/>
          <w:szCs w:val="28"/>
        </w:rPr>
        <w:t xml:space="preserve">У дослідах на щурах </w:t>
      </w:r>
      <w:r w:rsidR="003709F0" w:rsidRPr="00E87CD9">
        <w:rPr>
          <w:bCs/>
          <w:color w:val="auto"/>
          <w:sz w:val="28"/>
          <w:szCs w:val="28"/>
        </w:rPr>
        <w:t>встановлено, що г</w:t>
      </w:r>
      <w:r w:rsidR="003709F0" w:rsidRPr="00E87CD9">
        <w:rPr>
          <w:rFonts w:eastAsia="Calibri"/>
          <w:iCs/>
          <w:color w:val="auto"/>
          <w:sz w:val="28"/>
          <w:szCs w:val="28"/>
        </w:rPr>
        <w:t>іпотиреоз призводить до гіп</w:t>
      </w:r>
      <w:r w:rsidR="007F5B64">
        <w:rPr>
          <w:rFonts w:eastAsia="Calibri"/>
          <w:iCs/>
          <w:color w:val="auto"/>
          <w:sz w:val="28"/>
          <w:szCs w:val="28"/>
          <w:lang w:val="ru-RU"/>
        </w:rPr>
        <w:t>о</w:t>
      </w:r>
      <w:r w:rsidR="003709F0" w:rsidRPr="00E87CD9">
        <w:rPr>
          <w:rFonts w:eastAsia="Calibri"/>
          <w:iCs/>
          <w:color w:val="auto"/>
          <w:sz w:val="28"/>
          <w:szCs w:val="28"/>
        </w:rPr>
        <w:t>алгезії на тлі остеоартрозу, про що свідчить зменшення порогу больової чутливості на 17% (р&lt;0,05)за коморбідного стану проти 24%(р&lt;0,0</w:t>
      </w:r>
      <w:r w:rsidR="00662E63" w:rsidRPr="00E87CD9">
        <w:rPr>
          <w:rFonts w:eastAsia="Calibri"/>
          <w:iCs/>
          <w:color w:val="auto"/>
          <w:sz w:val="28"/>
          <w:szCs w:val="28"/>
        </w:rPr>
        <w:t>5</w:t>
      </w:r>
      <w:r w:rsidR="003709F0" w:rsidRPr="00E87CD9">
        <w:rPr>
          <w:rFonts w:eastAsia="Calibri"/>
          <w:iCs/>
          <w:color w:val="auto"/>
          <w:sz w:val="28"/>
          <w:szCs w:val="28"/>
        </w:rPr>
        <w:t>) за остеоартрозу.</w:t>
      </w:r>
      <w:r w:rsidR="003709F0" w:rsidRPr="00E87CD9">
        <w:rPr>
          <w:rStyle w:val="Default20Paragraph20Font"/>
          <w:rFonts w:eastAsia="Calibri"/>
          <w:iCs/>
          <w:color w:val="auto"/>
          <w:sz w:val="28"/>
          <w:szCs w:val="28"/>
        </w:rPr>
        <w:t>Експериментальні патологічні стани – остеоартроз та гіпотиреоз значно змінюють антиноцицептивну активність лікарських засобів, призводячи до втрати ними аналгезуючих властивостей.</w:t>
      </w:r>
      <w:r w:rsidR="003709F0" w:rsidRPr="00E87CD9">
        <w:rPr>
          <w:rFonts w:eastAsia="Calibri"/>
          <w:color w:val="auto"/>
          <w:sz w:val="28"/>
          <w:szCs w:val="28"/>
        </w:rPr>
        <w:t xml:space="preserve"> З</w:t>
      </w:r>
      <w:r w:rsidR="003709F0" w:rsidRPr="00E87CD9">
        <w:rPr>
          <w:rStyle w:val="Default20Paragraph20Font"/>
          <w:rFonts w:eastAsia="Calibri"/>
          <w:color w:val="auto"/>
          <w:sz w:val="28"/>
          <w:szCs w:val="28"/>
        </w:rPr>
        <w:t>а</w:t>
      </w:r>
      <w:r w:rsidR="003709F0" w:rsidRPr="00E87CD9">
        <w:rPr>
          <w:rStyle w:val="Default20Paragraph20Font"/>
          <w:rFonts w:eastAsia="Calibri"/>
          <w:bCs/>
          <w:iCs/>
          <w:color w:val="auto"/>
          <w:sz w:val="28"/>
          <w:szCs w:val="28"/>
        </w:rPr>
        <w:t xml:space="preserve"> умов остеоартрозу та гіпотиреозу на фоні замісної гормональної терапії L-тироксином</w:t>
      </w:r>
      <w:r w:rsidR="003709F0" w:rsidRPr="00E87CD9">
        <w:rPr>
          <w:rStyle w:val="Default20Paragraph20Font"/>
          <w:rFonts w:eastAsia="Calibri"/>
          <w:color w:val="auto"/>
          <w:sz w:val="28"/>
          <w:szCs w:val="28"/>
        </w:rPr>
        <w:t xml:space="preserve"> встановлено, що </w:t>
      </w:r>
      <w:r w:rsidR="003709F0" w:rsidRPr="00E87CD9">
        <w:rPr>
          <w:color w:val="auto"/>
          <w:sz w:val="28"/>
          <w:szCs w:val="28"/>
          <w:lang w:eastAsia="ru-RU"/>
        </w:rPr>
        <w:t xml:space="preserve">за інтенсивністю антиноцицептивної дії дані препарати розташовуються наступним чином: </w:t>
      </w:r>
      <w:r w:rsidR="00662E63" w:rsidRPr="00E87CD9">
        <w:rPr>
          <w:rStyle w:val="Default20Paragraph20Font"/>
          <w:rFonts w:eastAsia="Calibri"/>
          <w:iCs/>
          <w:color w:val="auto"/>
          <w:sz w:val="28"/>
          <w:szCs w:val="28"/>
        </w:rPr>
        <w:t xml:space="preserve">диклофенак натрію (+212%) </w:t>
      </w:r>
      <w:r w:rsidR="00662E63" w:rsidRPr="00E87CD9">
        <w:rPr>
          <w:rFonts w:eastAsia="Calibri"/>
          <w:color w:val="auto"/>
          <w:sz w:val="28"/>
          <w:szCs w:val="28"/>
        </w:rPr>
        <w:t>(р</w:t>
      </w:r>
      <w:r w:rsidR="00662E63" w:rsidRPr="00E87CD9">
        <w:rPr>
          <w:rFonts w:eastAsia="Calibri"/>
          <w:iCs/>
          <w:color w:val="auto"/>
          <w:sz w:val="28"/>
          <w:szCs w:val="28"/>
        </w:rPr>
        <w:t>&lt;</w:t>
      </w:r>
      <w:r w:rsidR="00662E63" w:rsidRPr="00E87CD9">
        <w:rPr>
          <w:rFonts w:eastAsia="Calibri"/>
          <w:color w:val="auto"/>
          <w:sz w:val="28"/>
          <w:szCs w:val="28"/>
        </w:rPr>
        <w:t xml:space="preserve">0,001) </w:t>
      </w:r>
      <w:r w:rsidR="00662E63" w:rsidRPr="00E87CD9">
        <w:rPr>
          <w:rStyle w:val="Default20Paragraph20Font"/>
          <w:rFonts w:eastAsia="Calibri"/>
          <w:iCs/>
          <w:color w:val="auto"/>
          <w:sz w:val="28"/>
          <w:szCs w:val="28"/>
        </w:rPr>
        <w:t xml:space="preserve">≥ ібупрофен (+144%) </w:t>
      </w:r>
      <w:r w:rsidR="00662E63" w:rsidRPr="00E87CD9">
        <w:rPr>
          <w:rFonts w:eastAsia="Calibri"/>
          <w:color w:val="auto"/>
          <w:sz w:val="28"/>
          <w:szCs w:val="28"/>
        </w:rPr>
        <w:t>(р</w:t>
      </w:r>
      <w:r w:rsidR="00662E63" w:rsidRPr="00E87CD9">
        <w:rPr>
          <w:rFonts w:eastAsia="Calibri"/>
          <w:iCs/>
          <w:color w:val="auto"/>
          <w:sz w:val="28"/>
          <w:szCs w:val="28"/>
        </w:rPr>
        <w:t>&lt;</w:t>
      </w:r>
      <w:r w:rsidR="00662E63" w:rsidRPr="00E87CD9">
        <w:rPr>
          <w:rFonts w:eastAsia="Calibri"/>
          <w:color w:val="auto"/>
          <w:sz w:val="28"/>
          <w:szCs w:val="28"/>
        </w:rPr>
        <w:t xml:space="preserve">0,001) </w:t>
      </w:r>
      <w:r w:rsidR="00662E63" w:rsidRPr="00E87CD9">
        <w:rPr>
          <w:rStyle w:val="Default20Paragraph20Font"/>
          <w:rFonts w:eastAsia="Calibri"/>
          <w:iCs/>
          <w:color w:val="auto"/>
          <w:sz w:val="28"/>
          <w:szCs w:val="28"/>
        </w:rPr>
        <w:t xml:space="preserve">≥ німесулід (+134%) </w:t>
      </w:r>
      <w:r w:rsidR="00662E63" w:rsidRPr="00E87CD9">
        <w:rPr>
          <w:rFonts w:eastAsia="Calibri"/>
          <w:color w:val="auto"/>
          <w:sz w:val="28"/>
          <w:szCs w:val="28"/>
        </w:rPr>
        <w:t>(р</w:t>
      </w:r>
      <w:r w:rsidR="00662E63" w:rsidRPr="00E87CD9">
        <w:rPr>
          <w:rFonts w:eastAsia="Calibri"/>
          <w:iCs/>
          <w:color w:val="auto"/>
          <w:sz w:val="28"/>
          <w:szCs w:val="28"/>
        </w:rPr>
        <w:t>&lt;</w:t>
      </w:r>
      <w:r w:rsidR="00662E63" w:rsidRPr="00E87CD9">
        <w:rPr>
          <w:rFonts w:eastAsia="Calibri"/>
          <w:color w:val="auto"/>
          <w:sz w:val="28"/>
          <w:szCs w:val="28"/>
        </w:rPr>
        <w:t xml:space="preserve">0,001) </w:t>
      </w:r>
      <w:r w:rsidR="00662E63" w:rsidRPr="00E87CD9">
        <w:rPr>
          <w:rStyle w:val="Default20Paragraph20Font"/>
          <w:rFonts w:eastAsia="Calibri"/>
          <w:iCs/>
          <w:color w:val="auto"/>
          <w:sz w:val="28"/>
          <w:szCs w:val="28"/>
        </w:rPr>
        <w:t xml:space="preserve">≥ парацетамол (+116%) </w:t>
      </w:r>
      <w:r w:rsidR="00662E63" w:rsidRPr="00E87CD9">
        <w:rPr>
          <w:rFonts w:eastAsia="Calibri"/>
          <w:color w:val="auto"/>
          <w:sz w:val="28"/>
          <w:szCs w:val="28"/>
        </w:rPr>
        <w:t>(р</w:t>
      </w:r>
      <w:r w:rsidR="00662E63" w:rsidRPr="00E87CD9">
        <w:rPr>
          <w:rFonts w:eastAsia="Calibri"/>
          <w:iCs/>
          <w:color w:val="auto"/>
          <w:sz w:val="28"/>
          <w:szCs w:val="28"/>
        </w:rPr>
        <w:t>&lt;</w:t>
      </w:r>
      <w:r w:rsidR="00662E63" w:rsidRPr="00E87CD9">
        <w:rPr>
          <w:rFonts w:eastAsia="Calibri"/>
          <w:color w:val="auto"/>
          <w:sz w:val="28"/>
          <w:szCs w:val="28"/>
        </w:rPr>
        <w:t xml:space="preserve">0,001) </w:t>
      </w:r>
      <w:r w:rsidR="00662E63" w:rsidRPr="00E87CD9">
        <w:rPr>
          <w:rStyle w:val="Default20Paragraph20Font"/>
          <w:rFonts w:eastAsia="Calibri"/>
          <w:iCs/>
          <w:color w:val="auto"/>
          <w:sz w:val="28"/>
          <w:szCs w:val="28"/>
        </w:rPr>
        <w:t xml:space="preserve">≥ мелоксикам (+104%) </w:t>
      </w:r>
      <w:r w:rsidR="00662E63" w:rsidRPr="00E87CD9">
        <w:rPr>
          <w:rFonts w:eastAsia="Calibri"/>
          <w:color w:val="auto"/>
          <w:sz w:val="28"/>
          <w:szCs w:val="28"/>
        </w:rPr>
        <w:t>(р</w:t>
      </w:r>
      <w:r w:rsidR="00662E63" w:rsidRPr="00E87CD9">
        <w:rPr>
          <w:rFonts w:eastAsia="Calibri"/>
          <w:iCs/>
          <w:color w:val="auto"/>
          <w:sz w:val="28"/>
          <w:szCs w:val="28"/>
        </w:rPr>
        <w:t>&lt;</w:t>
      </w:r>
      <w:r w:rsidR="00662E63" w:rsidRPr="00E87CD9">
        <w:rPr>
          <w:rFonts w:eastAsia="Calibri"/>
          <w:color w:val="auto"/>
          <w:sz w:val="28"/>
          <w:szCs w:val="28"/>
        </w:rPr>
        <w:t xml:space="preserve">0,001) </w:t>
      </w:r>
      <w:r w:rsidR="00662E63" w:rsidRPr="00E87CD9">
        <w:rPr>
          <w:rStyle w:val="Default20Paragraph20Font"/>
          <w:rFonts w:eastAsia="Calibri"/>
          <w:iCs/>
          <w:color w:val="auto"/>
          <w:sz w:val="28"/>
          <w:szCs w:val="28"/>
        </w:rPr>
        <w:t xml:space="preserve">≥ целекоксиб (+93%) </w:t>
      </w:r>
      <w:r w:rsidR="00662E63" w:rsidRPr="00E87CD9">
        <w:rPr>
          <w:rFonts w:eastAsia="Calibri"/>
          <w:color w:val="auto"/>
          <w:sz w:val="28"/>
          <w:szCs w:val="28"/>
        </w:rPr>
        <w:t>(р</w:t>
      </w:r>
      <w:r w:rsidR="00662E63" w:rsidRPr="00E87CD9">
        <w:rPr>
          <w:rFonts w:eastAsia="Calibri"/>
          <w:iCs/>
          <w:color w:val="auto"/>
          <w:sz w:val="28"/>
          <w:szCs w:val="28"/>
        </w:rPr>
        <w:t>&lt;</w:t>
      </w:r>
      <w:r w:rsidR="00662E63" w:rsidRPr="00E87CD9">
        <w:rPr>
          <w:rFonts w:eastAsia="Calibri"/>
          <w:color w:val="auto"/>
          <w:sz w:val="28"/>
          <w:szCs w:val="28"/>
        </w:rPr>
        <w:t>0,001)</w:t>
      </w:r>
      <w:r w:rsidR="003709F0" w:rsidRPr="00E87CD9">
        <w:rPr>
          <w:rStyle w:val="Default20Paragraph20Font"/>
          <w:rFonts w:eastAsia="Calibri"/>
          <w:iCs/>
          <w:color w:val="auto"/>
          <w:sz w:val="28"/>
          <w:szCs w:val="28"/>
        </w:rPr>
        <w:t>, що відображає найвищу антиноцицептивну активність диклофенаку натрію.</w:t>
      </w:r>
    </w:p>
    <w:p w:rsidR="003709F0" w:rsidRPr="00E87CD9" w:rsidRDefault="003709F0" w:rsidP="003709F0">
      <w:pPr>
        <w:ind w:firstLine="709"/>
        <w:jc w:val="both"/>
        <w:rPr>
          <w:color w:val="auto"/>
          <w:sz w:val="28"/>
          <w:szCs w:val="28"/>
        </w:rPr>
      </w:pPr>
      <w:r w:rsidRPr="00E87CD9">
        <w:rPr>
          <w:bCs/>
          <w:color w:val="auto"/>
          <w:sz w:val="28"/>
          <w:szCs w:val="28"/>
        </w:rPr>
        <w:t>Визначено, що на тлі коморбідного стану – остеоартрозу з гіпотиреозом доцільне комбіноване застосування</w:t>
      </w:r>
      <w:r w:rsidRPr="00E87CD9">
        <w:rPr>
          <w:color w:val="auto"/>
          <w:sz w:val="28"/>
          <w:szCs w:val="28"/>
        </w:rPr>
        <w:t xml:space="preserve"> L-тироксину, диклофенаку натрію та хондроїтину сульфату з метою посилення знеболювального ефекту окремих препаратів, відновлення морфометричних розмірів уражених суглобів, рухової, дослідницької та вегетативної активності щурів і біохімічних маркерів запального процесу. </w:t>
      </w:r>
      <w:r w:rsidRPr="00E87CD9">
        <w:rPr>
          <w:iCs/>
          <w:color w:val="auto"/>
          <w:sz w:val="28"/>
          <w:szCs w:val="28"/>
        </w:rPr>
        <w:t>К</w:t>
      </w:r>
      <w:r w:rsidRPr="00E87CD9">
        <w:rPr>
          <w:color w:val="auto"/>
          <w:sz w:val="28"/>
          <w:szCs w:val="28"/>
        </w:rPr>
        <w:t xml:space="preserve">омбіноване застосування диклофенаку натрію, хондроїтину сульфату та L-тироксину сприяє активній регенерації як хрящової, так і кісткової тканини з формуванням ділянок неоваскулогенезу, а комбіноване застосування L-тироксину, диклофенаку натрію та хондроїтину сульфату </w:t>
      </w:r>
      <w:r w:rsidRPr="00E87CD9">
        <w:rPr>
          <w:color w:val="auto"/>
          <w:sz w:val="28"/>
          <w:szCs w:val="28"/>
        </w:rPr>
        <w:lastRenderedPageBreak/>
        <w:t>можна рекомендувати до використання за клінічного дослідження на тлі остеоартрозу, коморбідного з гіпотиреозом.</w:t>
      </w:r>
    </w:p>
    <w:p w:rsidR="00417DC7" w:rsidRPr="00E87CD9" w:rsidRDefault="00417DC7" w:rsidP="00417DC7">
      <w:pPr>
        <w:ind w:firstLine="709"/>
        <w:jc w:val="both"/>
        <w:rPr>
          <w:color w:val="auto"/>
          <w:sz w:val="28"/>
          <w:szCs w:val="28"/>
        </w:rPr>
      </w:pPr>
      <w:r w:rsidRPr="00E87CD9">
        <w:rPr>
          <w:bCs/>
          <w:i/>
          <w:color w:val="auto"/>
          <w:sz w:val="28"/>
          <w:szCs w:val="28"/>
        </w:rPr>
        <w:t>Ключові слова:</w:t>
      </w:r>
      <w:r w:rsidRPr="00E87CD9">
        <w:rPr>
          <w:bCs/>
          <w:color w:val="auto"/>
          <w:sz w:val="28"/>
          <w:szCs w:val="28"/>
        </w:rPr>
        <w:t xml:space="preserve"> гіпотиреоз, остеоартроз, експериментальні моделі, нестероїдні протизапальні засоби, неопіоїдні анальгетики, хондропротектори, диклофенак натрію, хондроїтину сульфат, </w:t>
      </w:r>
      <w:r w:rsidRPr="00E87CD9">
        <w:rPr>
          <w:iCs/>
          <w:color w:val="auto"/>
          <w:sz w:val="28"/>
          <w:szCs w:val="28"/>
        </w:rPr>
        <w:t xml:space="preserve">L-тироксин, </w:t>
      </w:r>
      <w:r w:rsidRPr="00E87CD9">
        <w:rPr>
          <w:bCs/>
          <w:color w:val="auto"/>
          <w:sz w:val="28"/>
          <w:szCs w:val="28"/>
        </w:rPr>
        <w:t>больовий поріг, знеболення, фармакотерапія, гіаліновий хрящ, суглоб, взаємодія лікарських засобів.</w:t>
      </w:r>
    </w:p>
    <w:p w:rsidR="00417DC7" w:rsidRPr="00E87CD9" w:rsidRDefault="00417DC7" w:rsidP="00417DC7">
      <w:pPr>
        <w:pStyle w:val="1"/>
        <w:ind w:left="0" w:firstLine="709"/>
        <w:rPr>
          <w:color w:val="auto"/>
        </w:rPr>
      </w:pPr>
      <w:r w:rsidRPr="00E87CD9">
        <w:rPr>
          <w:color w:val="auto"/>
        </w:rPr>
        <w:t>SUMMARY</w:t>
      </w:r>
    </w:p>
    <w:p w:rsidR="00417DC7" w:rsidRPr="00E87CD9" w:rsidRDefault="00417DC7" w:rsidP="00417DC7">
      <w:pPr>
        <w:ind w:firstLine="709"/>
        <w:jc w:val="both"/>
        <w:rPr>
          <w:b/>
          <w:color w:val="auto"/>
          <w:sz w:val="28"/>
          <w:szCs w:val="28"/>
        </w:rPr>
      </w:pPr>
      <w:r w:rsidRPr="00E87CD9">
        <w:rPr>
          <w:b/>
          <w:bCs/>
          <w:color w:val="auto"/>
          <w:sz w:val="28"/>
          <w:szCs w:val="28"/>
        </w:rPr>
        <w:t xml:space="preserve">Nosivets D.S. </w:t>
      </w:r>
      <w:r w:rsidR="00984512" w:rsidRPr="00E87CD9">
        <w:rPr>
          <w:b/>
          <w:bCs/>
          <w:color w:val="auto"/>
          <w:sz w:val="28"/>
          <w:szCs w:val="28"/>
        </w:rPr>
        <w:t>Pharmacological analysis of analgesia and chondroprotection in experimental osteoarthritis on the background of hypothyroidism</w:t>
      </w:r>
      <w:r w:rsidRPr="00E87CD9">
        <w:rPr>
          <w:b/>
          <w:bCs/>
          <w:color w:val="auto"/>
          <w:sz w:val="28"/>
          <w:szCs w:val="28"/>
        </w:rPr>
        <w:t>. – Manuscript.</w:t>
      </w:r>
    </w:p>
    <w:p w:rsidR="00417DC7" w:rsidRPr="00E87CD9" w:rsidRDefault="00417DC7" w:rsidP="00417DC7">
      <w:pPr>
        <w:ind w:firstLine="709"/>
        <w:jc w:val="both"/>
        <w:rPr>
          <w:bCs/>
          <w:color w:val="auto"/>
          <w:sz w:val="28"/>
          <w:szCs w:val="28"/>
        </w:rPr>
      </w:pPr>
      <w:r w:rsidRPr="00E87CD9">
        <w:rPr>
          <w:bCs/>
          <w:color w:val="auto"/>
          <w:sz w:val="28"/>
          <w:szCs w:val="28"/>
        </w:rPr>
        <w:t xml:space="preserve">Thesis for the scientific degree of Doctor of Medical Sciences in specialty 14.03.05 – Pharmacology. </w:t>
      </w:r>
      <w:r w:rsidRPr="00E87CD9">
        <w:rPr>
          <w:color w:val="auto"/>
          <w:sz w:val="28"/>
          <w:szCs w:val="28"/>
          <w:lang w:eastAsia="ar-SA"/>
        </w:rPr>
        <w:t>–</w:t>
      </w:r>
      <w:r w:rsidRPr="00E87CD9">
        <w:rPr>
          <w:bCs/>
          <w:color w:val="auto"/>
          <w:sz w:val="28"/>
          <w:szCs w:val="28"/>
        </w:rPr>
        <w:t xml:space="preserve"> SI «Institute of Pharmacology and Toxicology of NAMS of Ukraine», Kyiv, 202</w:t>
      </w:r>
      <w:r w:rsidR="00293AFC" w:rsidRPr="00E87CD9">
        <w:rPr>
          <w:bCs/>
          <w:color w:val="auto"/>
          <w:sz w:val="28"/>
          <w:szCs w:val="28"/>
          <w:lang w:val="en-US"/>
        </w:rPr>
        <w:t>1</w:t>
      </w:r>
      <w:r w:rsidRPr="00E87CD9">
        <w:rPr>
          <w:bCs/>
          <w:color w:val="auto"/>
          <w:sz w:val="28"/>
          <w:szCs w:val="28"/>
        </w:rPr>
        <w:t>.</w:t>
      </w:r>
    </w:p>
    <w:p w:rsidR="00A9481C" w:rsidRPr="00E87CD9" w:rsidRDefault="00A9481C" w:rsidP="00A9481C">
      <w:pPr>
        <w:ind w:firstLine="709"/>
        <w:jc w:val="both"/>
        <w:rPr>
          <w:color w:val="auto"/>
          <w:sz w:val="28"/>
          <w:szCs w:val="28"/>
          <w:lang w:val="en-US"/>
        </w:rPr>
      </w:pPr>
      <w:r w:rsidRPr="00E87CD9">
        <w:rPr>
          <w:bCs/>
          <w:color w:val="auto"/>
          <w:sz w:val="28"/>
          <w:szCs w:val="28"/>
          <w:lang w:val="en-US"/>
        </w:rPr>
        <w:t xml:space="preserve">The dissertation work is dedicated to pharmacological analysis of the processes of pain relief and chondroprotection for experimental consideration of the optimal use of analgesic and chondroprotective drugs for osteoarthritis with hypothyroidism. </w:t>
      </w:r>
      <w:r w:rsidRPr="00E87CD9">
        <w:rPr>
          <w:color w:val="auto"/>
          <w:sz w:val="28"/>
          <w:szCs w:val="28"/>
          <w:lang w:val="en-US"/>
        </w:rPr>
        <w:t>The results of the work is a basis for the development of rational approaches to pharmacotherapy of pain and inflammation and providing adequate chondroprotection in patients with osteoarthritis with concomitant hypothyroidism.</w:t>
      </w:r>
    </w:p>
    <w:p w:rsidR="00A9481C" w:rsidRPr="00E87CD9" w:rsidRDefault="00A9481C" w:rsidP="00A9481C">
      <w:pPr>
        <w:ind w:firstLine="709"/>
        <w:jc w:val="both"/>
        <w:rPr>
          <w:color w:val="auto"/>
          <w:sz w:val="28"/>
          <w:szCs w:val="28"/>
          <w:lang w:val="en-US"/>
        </w:rPr>
      </w:pPr>
      <w:r w:rsidRPr="00E87CD9">
        <w:rPr>
          <w:color w:val="auto"/>
          <w:sz w:val="28"/>
          <w:szCs w:val="28"/>
          <w:lang w:val="en-US"/>
        </w:rPr>
        <w:t>On the basis of the study a rational combination of drugs for oral use with analgesic and chondroprotective actions was determined, which includes L-thyroxine 50-100 mg, diclofenac sodium 150 mg and chondroitin sulfate 2 ml per day for comorbid pathology of osteoarthritis and hypothyroidism.</w:t>
      </w:r>
    </w:p>
    <w:p w:rsidR="00A9481C" w:rsidRPr="00E87CD9" w:rsidRDefault="00A9481C" w:rsidP="00A9481C">
      <w:pPr>
        <w:ind w:firstLine="709"/>
        <w:jc w:val="both"/>
        <w:rPr>
          <w:color w:val="auto"/>
          <w:sz w:val="28"/>
          <w:szCs w:val="28"/>
        </w:rPr>
      </w:pPr>
      <w:r w:rsidRPr="00E87CD9">
        <w:rPr>
          <w:color w:val="auto"/>
          <w:sz w:val="28"/>
          <w:szCs w:val="28"/>
        </w:rPr>
        <w:t>It was found that the analgesic effect of drugs against the background of comorbid pathology and administration of L-thyroxine was more significant. This result is evidence of potentiation of the analgesic effect of the NSAIDs by L-thyroxine against the background of osteoarthritis, comorbid with hypothyroidism, and reflects a significant analgesic effect of diclofenac sodium. In fact, L-thyroxine when combined with diclofenac sodium leads to an increase in the analgesic activity of the latter by 48% (p&lt;0,05). Analgesic activity of paracetamol against the background of administration of L-thyroxine increased by 1,8 times (p&lt;0,05) compared to the data when the antipyretic was administered alone against a background of osteoarthritis.</w:t>
      </w:r>
    </w:p>
    <w:p w:rsidR="00A9481C" w:rsidRPr="00E87CD9" w:rsidRDefault="00A9481C" w:rsidP="00A9481C">
      <w:pPr>
        <w:ind w:firstLine="709"/>
        <w:jc w:val="both"/>
        <w:rPr>
          <w:color w:val="auto"/>
          <w:sz w:val="28"/>
          <w:szCs w:val="28"/>
        </w:rPr>
      </w:pPr>
      <w:r w:rsidRPr="00E87CD9">
        <w:rPr>
          <w:color w:val="auto"/>
          <w:sz w:val="28"/>
          <w:szCs w:val="28"/>
        </w:rPr>
        <w:t xml:space="preserve">Based on the analysis of the obtained data, drugs that changed the hormonal background were identified. Such drugs as ibuprofen, meloxicam and nimesulide decreased the TSH level in the </w:t>
      </w:r>
      <w:r w:rsidRPr="00E87CD9">
        <w:rPr>
          <w:color w:val="auto"/>
          <w:sz w:val="28"/>
          <w:szCs w:val="28"/>
          <w:lang w:val="en-US"/>
        </w:rPr>
        <w:t xml:space="preserve">blood serum </w:t>
      </w:r>
      <w:r w:rsidRPr="00E87CD9">
        <w:rPr>
          <w:color w:val="auto"/>
          <w:sz w:val="28"/>
          <w:szCs w:val="28"/>
        </w:rPr>
        <w:t>in 1</w:t>
      </w:r>
      <w:r w:rsidRPr="00E87CD9">
        <w:rPr>
          <w:color w:val="auto"/>
          <w:sz w:val="28"/>
          <w:szCs w:val="28"/>
          <w:lang w:val="en-US"/>
        </w:rPr>
        <w:t>,</w:t>
      </w:r>
      <w:r w:rsidRPr="00E87CD9">
        <w:rPr>
          <w:color w:val="auto"/>
          <w:sz w:val="28"/>
          <w:szCs w:val="28"/>
        </w:rPr>
        <w:t>47</w:t>
      </w:r>
      <w:r w:rsidRPr="00E87CD9">
        <w:rPr>
          <w:color w:val="auto"/>
          <w:sz w:val="28"/>
          <w:szCs w:val="28"/>
          <w:lang w:val="en-US"/>
        </w:rPr>
        <w:t>,</w:t>
      </w:r>
      <w:r w:rsidRPr="00E87CD9">
        <w:rPr>
          <w:color w:val="auto"/>
          <w:sz w:val="28"/>
          <w:szCs w:val="28"/>
        </w:rPr>
        <w:t xml:space="preserve"> 1</w:t>
      </w:r>
      <w:r w:rsidRPr="00E87CD9">
        <w:rPr>
          <w:color w:val="auto"/>
          <w:sz w:val="28"/>
          <w:szCs w:val="28"/>
          <w:lang w:val="en-US"/>
        </w:rPr>
        <w:t>,</w:t>
      </w:r>
      <w:r w:rsidR="00234FD7" w:rsidRPr="00E87CD9">
        <w:rPr>
          <w:color w:val="auto"/>
          <w:sz w:val="28"/>
          <w:szCs w:val="28"/>
        </w:rPr>
        <w:t>29</w:t>
      </w:r>
      <w:r w:rsidRPr="00E87CD9">
        <w:rPr>
          <w:color w:val="auto"/>
          <w:sz w:val="28"/>
          <w:szCs w:val="28"/>
        </w:rPr>
        <w:t xml:space="preserve"> and 1</w:t>
      </w:r>
      <w:r w:rsidRPr="00E87CD9">
        <w:rPr>
          <w:color w:val="auto"/>
          <w:sz w:val="28"/>
          <w:szCs w:val="28"/>
          <w:lang w:val="en-US"/>
        </w:rPr>
        <w:t>,</w:t>
      </w:r>
      <w:r w:rsidRPr="00E87CD9">
        <w:rPr>
          <w:color w:val="auto"/>
          <w:sz w:val="28"/>
          <w:szCs w:val="28"/>
        </w:rPr>
        <w:t>4</w:t>
      </w:r>
      <w:r w:rsidR="00234FD7" w:rsidRPr="00E87CD9">
        <w:rPr>
          <w:color w:val="auto"/>
          <w:sz w:val="28"/>
          <w:szCs w:val="28"/>
        </w:rPr>
        <w:t>0</w:t>
      </w:r>
      <w:r w:rsidRPr="00E87CD9">
        <w:rPr>
          <w:color w:val="auto"/>
          <w:sz w:val="28"/>
          <w:szCs w:val="28"/>
        </w:rPr>
        <w:t xml:space="preserve"> times respectively (p&lt;0,05). At the same time their use caused an increase of T4 level in 1,23, 1,27 and 1,26 times accordingly (p&lt;0,05).</w:t>
      </w:r>
    </w:p>
    <w:p w:rsidR="00A9481C" w:rsidRPr="00E87CD9" w:rsidRDefault="00A9481C" w:rsidP="00A9481C">
      <w:pPr>
        <w:ind w:firstLine="709"/>
        <w:jc w:val="both"/>
        <w:rPr>
          <w:color w:val="auto"/>
          <w:sz w:val="28"/>
          <w:szCs w:val="28"/>
        </w:rPr>
      </w:pPr>
      <w:r w:rsidRPr="00E87CD9">
        <w:rPr>
          <w:color w:val="auto"/>
          <w:sz w:val="28"/>
          <w:szCs w:val="28"/>
        </w:rPr>
        <w:t xml:space="preserve">The results of the study allowed us to determine that the pharmacological doses showed only a tendency to a decrease in the level of thyroid hormones (T3 and T4) and TSH, in the blood serum when the intragastric administration of the studied drugs (p&gt;0.05), and when therapeutic doses were increased, different data were obtained for the level of influence on the concentration of TSH, T3 and T4 in the blood serum of the </w:t>
      </w:r>
      <w:r w:rsidRPr="00E87CD9">
        <w:rPr>
          <w:color w:val="auto"/>
          <w:sz w:val="28"/>
          <w:szCs w:val="28"/>
          <w:lang w:val="en-US"/>
        </w:rPr>
        <w:t>rat</w:t>
      </w:r>
      <w:r w:rsidRPr="00E87CD9">
        <w:rPr>
          <w:color w:val="auto"/>
          <w:sz w:val="28"/>
          <w:szCs w:val="28"/>
        </w:rPr>
        <w:t>s.</w:t>
      </w:r>
    </w:p>
    <w:p w:rsidR="00A9481C" w:rsidRPr="00E87CD9" w:rsidRDefault="00A9481C" w:rsidP="00A9481C">
      <w:pPr>
        <w:ind w:firstLine="709"/>
        <w:jc w:val="both"/>
        <w:rPr>
          <w:color w:val="auto"/>
          <w:sz w:val="28"/>
          <w:szCs w:val="28"/>
        </w:rPr>
      </w:pPr>
      <w:r w:rsidRPr="00E87CD9">
        <w:rPr>
          <w:color w:val="auto"/>
          <w:sz w:val="28"/>
          <w:szCs w:val="28"/>
        </w:rPr>
        <w:lastRenderedPageBreak/>
        <w:t>On the basis of the conducted histomorphological investigations it was established that the combined use of diclofenac sodium, chondroitin sulfate and L-thyroxine promotes active regeneration of cartilage and bone tissue with neovasculogenesis areas, reduction of signs of reactive inflammation and synovial fibrosis and formation of young cartilage.</w:t>
      </w:r>
    </w:p>
    <w:p w:rsidR="00A9481C" w:rsidRPr="00E87CD9" w:rsidRDefault="00A9481C" w:rsidP="00A9481C">
      <w:pPr>
        <w:ind w:firstLine="709"/>
        <w:jc w:val="both"/>
        <w:rPr>
          <w:color w:val="auto"/>
          <w:sz w:val="28"/>
          <w:szCs w:val="28"/>
        </w:rPr>
      </w:pPr>
      <w:r w:rsidRPr="00E87CD9">
        <w:rPr>
          <w:color w:val="auto"/>
          <w:sz w:val="28"/>
          <w:szCs w:val="28"/>
        </w:rPr>
        <w:t xml:space="preserve">Hypothyroidism leads to </w:t>
      </w:r>
      <w:r w:rsidR="004324F5" w:rsidRPr="00E87CD9">
        <w:rPr>
          <w:color w:val="auto"/>
          <w:sz w:val="28"/>
          <w:szCs w:val="28"/>
        </w:rPr>
        <w:t>hyp</w:t>
      </w:r>
      <w:r w:rsidR="007F5B64">
        <w:rPr>
          <w:color w:val="auto"/>
          <w:sz w:val="28"/>
          <w:szCs w:val="28"/>
          <w:lang w:val="ru-RU"/>
        </w:rPr>
        <w:t>о</w:t>
      </w:r>
      <w:r w:rsidR="004324F5" w:rsidRPr="00E87CD9">
        <w:rPr>
          <w:color w:val="auto"/>
          <w:sz w:val="28"/>
          <w:szCs w:val="28"/>
        </w:rPr>
        <w:t>algesia</w:t>
      </w:r>
      <w:r w:rsidRPr="00E87CD9">
        <w:rPr>
          <w:color w:val="auto"/>
          <w:sz w:val="28"/>
          <w:szCs w:val="28"/>
        </w:rPr>
        <w:t xml:space="preserve"> in osteoarthritis, as evidenced by a 17% (p&lt;0</w:t>
      </w:r>
      <w:r w:rsidRPr="00E87CD9">
        <w:rPr>
          <w:color w:val="auto"/>
          <w:sz w:val="28"/>
          <w:szCs w:val="28"/>
          <w:lang w:val="en-US"/>
        </w:rPr>
        <w:t>,</w:t>
      </w:r>
      <w:r w:rsidRPr="00E87CD9">
        <w:rPr>
          <w:color w:val="auto"/>
          <w:sz w:val="28"/>
          <w:szCs w:val="28"/>
        </w:rPr>
        <w:t>05) decrease in the threshold of pain sensitivity for comorbid condition versus 24% (p&lt;0</w:t>
      </w:r>
      <w:r w:rsidRPr="00E87CD9">
        <w:rPr>
          <w:color w:val="auto"/>
          <w:sz w:val="28"/>
          <w:szCs w:val="28"/>
          <w:lang w:val="en-US"/>
        </w:rPr>
        <w:t>,</w:t>
      </w:r>
      <w:r w:rsidRPr="00E87CD9">
        <w:rPr>
          <w:color w:val="auto"/>
          <w:sz w:val="28"/>
          <w:szCs w:val="28"/>
        </w:rPr>
        <w:t>0</w:t>
      </w:r>
      <w:r w:rsidR="00662E63" w:rsidRPr="00E87CD9">
        <w:rPr>
          <w:color w:val="auto"/>
          <w:sz w:val="28"/>
          <w:szCs w:val="28"/>
        </w:rPr>
        <w:t>5</w:t>
      </w:r>
      <w:r w:rsidRPr="00E87CD9">
        <w:rPr>
          <w:color w:val="auto"/>
          <w:sz w:val="28"/>
          <w:szCs w:val="28"/>
        </w:rPr>
        <w:t>) for osteoarthritis.</w:t>
      </w:r>
    </w:p>
    <w:p w:rsidR="00A9481C" w:rsidRPr="00E87CD9" w:rsidRDefault="00A9481C" w:rsidP="00A9481C">
      <w:pPr>
        <w:ind w:firstLine="709"/>
        <w:jc w:val="both"/>
        <w:rPr>
          <w:color w:val="auto"/>
          <w:sz w:val="28"/>
          <w:szCs w:val="28"/>
          <w:lang w:val="en-US"/>
        </w:rPr>
      </w:pPr>
      <w:r w:rsidRPr="00E87CD9">
        <w:rPr>
          <w:color w:val="auto"/>
          <w:sz w:val="28"/>
          <w:szCs w:val="28"/>
        </w:rPr>
        <w:t>Experimental pathological conditions - osteoarthritis and hypothyroidism significantly change antinociceptive activity of drugs, leading to loss of their analgesic properties. Under conditions of osteoarthritis and hypothyroidism on the background of replacement hormonal therapy with L-thyroxine, these drugs are ranked as follows according to the intensity of their antinociceptive action</w:t>
      </w:r>
      <w:r w:rsidR="00800B0A" w:rsidRPr="00E87CD9">
        <w:rPr>
          <w:color w:val="auto"/>
          <w:sz w:val="28"/>
          <w:szCs w:val="28"/>
        </w:rPr>
        <w:t>:</w:t>
      </w:r>
      <w:r w:rsidRPr="00E87CD9">
        <w:rPr>
          <w:color w:val="auto"/>
          <w:sz w:val="28"/>
          <w:szCs w:val="28"/>
        </w:rPr>
        <w:t xml:space="preserve"> diclofenac sodium (+212%) </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 xml:space="preserve">&gt; ibuprofen (+144%) </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 xml:space="preserve">&gt; nimesulide (+134%) </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paracetamol (+11</w:t>
      </w:r>
      <w:r w:rsidRPr="00E87CD9">
        <w:rPr>
          <w:color w:val="auto"/>
          <w:sz w:val="28"/>
          <w:szCs w:val="28"/>
          <w:lang w:val="en-US"/>
        </w:rPr>
        <w:t>6</w:t>
      </w:r>
      <w:r w:rsidRPr="00E87CD9">
        <w:rPr>
          <w:color w:val="auto"/>
          <w:sz w:val="28"/>
          <w:szCs w:val="28"/>
        </w:rPr>
        <w:t xml:space="preserve">%) </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 xml:space="preserve">&gt; meloxicam (+104%) </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celecoxib (+93%)</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0,001)</w:t>
      </w:r>
      <w:r w:rsidRPr="00E87CD9">
        <w:rPr>
          <w:color w:val="auto"/>
          <w:sz w:val="28"/>
          <w:szCs w:val="28"/>
        </w:rPr>
        <w:t>, which reflects the highest antinociceptive activity of diclofenac sodium.</w:t>
      </w:r>
    </w:p>
    <w:p w:rsidR="00A9481C" w:rsidRPr="00E87CD9" w:rsidRDefault="00A9481C" w:rsidP="00A9481C">
      <w:pPr>
        <w:ind w:firstLine="709"/>
        <w:jc w:val="both"/>
        <w:rPr>
          <w:color w:val="auto"/>
          <w:sz w:val="28"/>
          <w:szCs w:val="28"/>
        </w:rPr>
      </w:pPr>
      <w:r w:rsidRPr="00E87CD9">
        <w:rPr>
          <w:color w:val="auto"/>
          <w:sz w:val="28"/>
          <w:szCs w:val="28"/>
        </w:rPr>
        <w:t xml:space="preserve">Osteoarthritis and hypothyroidism contribute to the degradation of </w:t>
      </w:r>
      <w:r w:rsidRPr="00E87CD9">
        <w:rPr>
          <w:color w:val="auto"/>
          <w:sz w:val="28"/>
          <w:szCs w:val="28"/>
          <w:lang w:val="en-US"/>
        </w:rPr>
        <w:t>motor</w:t>
      </w:r>
      <w:r w:rsidRPr="00E87CD9">
        <w:rPr>
          <w:color w:val="auto"/>
          <w:sz w:val="28"/>
          <w:szCs w:val="28"/>
        </w:rPr>
        <w:t xml:space="preserve"> and </w:t>
      </w:r>
      <w:r w:rsidRPr="00E87CD9">
        <w:rPr>
          <w:color w:val="auto"/>
          <w:sz w:val="28"/>
          <w:szCs w:val="28"/>
          <w:lang w:val="en-US"/>
        </w:rPr>
        <w:t>investigative</w:t>
      </w:r>
      <w:r w:rsidRPr="00E87CD9">
        <w:rPr>
          <w:color w:val="auto"/>
          <w:sz w:val="28"/>
          <w:szCs w:val="28"/>
        </w:rPr>
        <w:t xml:space="preserve"> activity in the rats, and replacement hormonal pharmacotherapy with L-thyroxine contributes to its restoration</w:t>
      </w:r>
      <w:r w:rsidR="00B90B59" w:rsidRPr="00E87CD9">
        <w:rPr>
          <w:color w:val="auto"/>
          <w:sz w:val="28"/>
          <w:szCs w:val="28"/>
        </w:rPr>
        <w:t xml:space="preserve"> (</w:t>
      </w:r>
      <w:r w:rsidR="00B90B59" w:rsidRPr="00E87CD9">
        <w:rPr>
          <w:rFonts w:eastAsia="Calibri"/>
          <w:iCs/>
          <w:color w:val="auto"/>
          <w:sz w:val="28"/>
          <w:szCs w:val="28"/>
        </w:rPr>
        <w:t>р&lt;0,05</w:t>
      </w:r>
      <w:r w:rsidR="00B90B59" w:rsidRPr="00E87CD9">
        <w:rPr>
          <w:color w:val="auto"/>
          <w:sz w:val="28"/>
          <w:szCs w:val="28"/>
        </w:rPr>
        <w:t>)</w:t>
      </w:r>
      <w:r w:rsidRPr="00E87CD9">
        <w:rPr>
          <w:color w:val="auto"/>
          <w:sz w:val="28"/>
          <w:szCs w:val="28"/>
        </w:rPr>
        <w:t xml:space="preserve">. The use of diclofenac sodium in combination with L-thyroxine leads to the potentiation of positive effect of L-thyroxine on </w:t>
      </w:r>
      <w:r w:rsidRPr="00E87CD9">
        <w:rPr>
          <w:color w:val="auto"/>
          <w:sz w:val="28"/>
          <w:szCs w:val="28"/>
          <w:lang w:val="en-US"/>
        </w:rPr>
        <w:t>motor</w:t>
      </w:r>
      <w:r w:rsidRPr="00E87CD9">
        <w:rPr>
          <w:color w:val="auto"/>
          <w:sz w:val="28"/>
          <w:szCs w:val="28"/>
        </w:rPr>
        <w:t xml:space="preserve"> and investigative activity compared to L-thyroxine monotherapy (p&lt;0,05).</w:t>
      </w:r>
    </w:p>
    <w:p w:rsidR="00A9481C" w:rsidRPr="00E87CD9" w:rsidRDefault="00A9481C" w:rsidP="00A9481C">
      <w:pPr>
        <w:ind w:firstLine="709"/>
        <w:jc w:val="both"/>
        <w:rPr>
          <w:color w:val="auto"/>
          <w:sz w:val="28"/>
          <w:szCs w:val="28"/>
        </w:rPr>
      </w:pPr>
      <w:r w:rsidRPr="00E87CD9">
        <w:rPr>
          <w:color w:val="auto"/>
          <w:sz w:val="28"/>
          <w:szCs w:val="28"/>
        </w:rPr>
        <w:t xml:space="preserve">The degree of influence on the inflammatory processes in the joint by the measures of the levels of interleukin (IL 1, IL 6 and IL 8), matrix metalloproteinases (MMP-3, MMP-9 and MMP-13), and C-reactive protein and for the intensity of the effect on degenerative-dystrophic processes in the bone tissue (for the level of the marker of collagen degradation type I (CTX I) in the </w:t>
      </w:r>
      <w:r w:rsidRPr="00E87CD9">
        <w:rPr>
          <w:color w:val="auto"/>
          <w:sz w:val="28"/>
          <w:szCs w:val="28"/>
          <w:lang w:val="en-US"/>
        </w:rPr>
        <w:t>blood serum</w:t>
      </w:r>
      <w:r w:rsidRPr="00E87CD9">
        <w:rPr>
          <w:color w:val="auto"/>
          <w:sz w:val="28"/>
          <w:szCs w:val="28"/>
        </w:rPr>
        <w:t xml:space="preserve"> of the rats) the drugs were ranked as follows: diclofenac sodium &gt; ibuprofen &gt; nimesulide = meloxicam &gt; celecoxib &gt; paracetamol, which reflects the different efficacy of the indicated drugs on pathological manifestations of comorbid pathology.</w:t>
      </w:r>
    </w:p>
    <w:p w:rsidR="00A9481C" w:rsidRPr="00E87CD9" w:rsidRDefault="00A9481C" w:rsidP="00A9481C">
      <w:pPr>
        <w:ind w:firstLine="709"/>
        <w:jc w:val="both"/>
        <w:rPr>
          <w:color w:val="auto"/>
          <w:sz w:val="28"/>
          <w:szCs w:val="28"/>
        </w:rPr>
      </w:pPr>
      <w:r w:rsidRPr="00E87CD9">
        <w:rPr>
          <w:color w:val="auto"/>
          <w:sz w:val="28"/>
          <w:szCs w:val="28"/>
        </w:rPr>
        <w:t>For the degree of influence on degenerative-dystrophic processes in cartilage tissue, evaluated by the level of collagen degradation marker type II (</w:t>
      </w:r>
      <w:r w:rsidRPr="00E87CD9">
        <w:rPr>
          <w:color w:val="auto"/>
          <w:sz w:val="28"/>
          <w:szCs w:val="28"/>
          <w:lang w:val="en-US"/>
        </w:rPr>
        <w:t>CTX</w:t>
      </w:r>
      <w:r w:rsidRPr="00E87CD9">
        <w:rPr>
          <w:color w:val="auto"/>
          <w:sz w:val="28"/>
          <w:szCs w:val="28"/>
        </w:rPr>
        <w:t xml:space="preserve"> II) in the blood </w:t>
      </w:r>
      <w:r w:rsidRPr="00E87CD9">
        <w:rPr>
          <w:color w:val="auto"/>
          <w:sz w:val="28"/>
          <w:szCs w:val="28"/>
          <w:lang w:val="en-US"/>
        </w:rPr>
        <w:t>serum</w:t>
      </w:r>
      <w:r w:rsidRPr="00E87CD9">
        <w:rPr>
          <w:color w:val="auto"/>
          <w:sz w:val="28"/>
          <w:szCs w:val="28"/>
        </w:rPr>
        <w:t xml:space="preserve"> of the rats, the drugs were ranked in the following way: nimesulide &gt; celecoxib &gt; meloxicam &gt; ibuprofen &gt; diclofenac sodium &gt; paracetamol.</w:t>
      </w:r>
    </w:p>
    <w:p w:rsidR="00A9481C" w:rsidRPr="00E87CD9" w:rsidRDefault="00A9481C" w:rsidP="00A9481C">
      <w:pPr>
        <w:ind w:firstLine="709"/>
        <w:jc w:val="both"/>
        <w:rPr>
          <w:color w:val="auto"/>
          <w:sz w:val="28"/>
          <w:szCs w:val="28"/>
          <w:lang w:val="en-US"/>
        </w:rPr>
      </w:pPr>
      <w:r w:rsidRPr="00E87CD9">
        <w:rPr>
          <w:color w:val="auto"/>
          <w:sz w:val="28"/>
          <w:szCs w:val="28"/>
        </w:rPr>
        <w:t xml:space="preserve">According to the degree of influence on the activity of osteoblasts in the bone tissue, which was assessed by the level of bone alkaline phosphatase in the blood </w:t>
      </w:r>
      <w:r w:rsidRPr="00E87CD9">
        <w:rPr>
          <w:color w:val="auto"/>
          <w:sz w:val="28"/>
          <w:szCs w:val="28"/>
          <w:lang w:val="en-US"/>
        </w:rPr>
        <w:t>serum</w:t>
      </w:r>
      <w:r w:rsidRPr="00E87CD9">
        <w:rPr>
          <w:color w:val="auto"/>
          <w:sz w:val="28"/>
          <w:szCs w:val="28"/>
        </w:rPr>
        <w:t xml:space="preserve"> of the rats, the studied drugs were ranked as follows: diclofenac sodium &gt; ibuprofen &gt; meloxicam &gt; nimesulide &gt; celecoxib &gt; paracetamol.</w:t>
      </w:r>
    </w:p>
    <w:p w:rsidR="00015BFC" w:rsidRDefault="00A9481C" w:rsidP="00A9481C">
      <w:pPr>
        <w:ind w:firstLine="709"/>
        <w:jc w:val="both"/>
        <w:rPr>
          <w:color w:val="auto"/>
          <w:sz w:val="28"/>
          <w:szCs w:val="28"/>
          <w:lang w:val="en-US"/>
        </w:rPr>
      </w:pPr>
      <w:r w:rsidRPr="00E87CD9">
        <w:rPr>
          <w:color w:val="auto"/>
          <w:sz w:val="28"/>
          <w:szCs w:val="28"/>
          <w:lang w:val="en-US"/>
        </w:rPr>
        <w:t>Against the background of osteoarthritis and hypothyroidism in the rats ibuprofen, meloxicam and nimesulide reduced the TSH level in the rats' blood in 1,47, 1,</w:t>
      </w:r>
      <w:r w:rsidR="00E75B3E" w:rsidRPr="00E87CD9">
        <w:rPr>
          <w:color w:val="auto"/>
          <w:sz w:val="28"/>
          <w:szCs w:val="28"/>
        </w:rPr>
        <w:t>29</w:t>
      </w:r>
      <w:r w:rsidRPr="00E87CD9">
        <w:rPr>
          <w:color w:val="auto"/>
          <w:sz w:val="28"/>
          <w:szCs w:val="28"/>
          <w:lang w:val="en-US"/>
        </w:rPr>
        <w:t xml:space="preserve"> and 1,4</w:t>
      </w:r>
      <w:r w:rsidR="00E75B3E" w:rsidRPr="00E87CD9">
        <w:rPr>
          <w:color w:val="auto"/>
          <w:sz w:val="28"/>
          <w:szCs w:val="28"/>
        </w:rPr>
        <w:t>0</w:t>
      </w:r>
      <w:r w:rsidRPr="00E87CD9">
        <w:rPr>
          <w:color w:val="auto"/>
          <w:sz w:val="28"/>
          <w:szCs w:val="28"/>
          <w:lang w:val="en-US"/>
        </w:rPr>
        <w:t xml:space="preserve"> times respectively (p&lt;0,05) and raise the T4 level by 1,23, 1,27 and 1,26 times respectively (p&lt;0,05). </w:t>
      </w:r>
      <w:r w:rsidR="00015BFC" w:rsidRPr="003E2AD3">
        <w:rPr>
          <w:color w:val="auto"/>
          <w:sz w:val="28"/>
          <w:szCs w:val="28"/>
          <w:lang w:val="en-US"/>
        </w:rPr>
        <w:t>Diclofenac sodium and celecoxib decrease the TSH level by 1</w:t>
      </w:r>
      <w:r w:rsidR="00015BFC" w:rsidRPr="003E2AD3">
        <w:rPr>
          <w:color w:val="auto"/>
          <w:sz w:val="28"/>
          <w:szCs w:val="28"/>
        </w:rPr>
        <w:t>,</w:t>
      </w:r>
      <w:r w:rsidR="00015BFC" w:rsidRPr="003E2AD3">
        <w:rPr>
          <w:color w:val="auto"/>
          <w:sz w:val="28"/>
          <w:szCs w:val="28"/>
          <w:lang w:val="en-US"/>
        </w:rPr>
        <w:t>16 and 1</w:t>
      </w:r>
      <w:r w:rsidR="00015BFC" w:rsidRPr="003E2AD3">
        <w:rPr>
          <w:color w:val="auto"/>
          <w:sz w:val="28"/>
          <w:szCs w:val="28"/>
        </w:rPr>
        <w:t>,</w:t>
      </w:r>
      <w:r w:rsidR="00015BFC" w:rsidRPr="003E2AD3">
        <w:rPr>
          <w:color w:val="auto"/>
          <w:sz w:val="28"/>
          <w:szCs w:val="28"/>
          <w:lang w:val="en-US"/>
        </w:rPr>
        <w:t>15 times (p&lt;0.05) and increase the T4 level by 1</w:t>
      </w:r>
      <w:r w:rsidR="00015BFC" w:rsidRPr="003E2AD3">
        <w:rPr>
          <w:color w:val="auto"/>
          <w:sz w:val="28"/>
          <w:szCs w:val="28"/>
        </w:rPr>
        <w:t>,</w:t>
      </w:r>
      <w:r w:rsidR="00015BFC" w:rsidRPr="003E2AD3">
        <w:rPr>
          <w:color w:val="auto"/>
          <w:sz w:val="28"/>
          <w:szCs w:val="28"/>
          <w:lang w:val="en-US"/>
        </w:rPr>
        <w:t>1 and 1</w:t>
      </w:r>
      <w:r w:rsidR="00015BFC" w:rsidRPr="003E2AD3">
        <w:rPr>
          <w:color w:val="auto"/>
          <w:sz w:val="28"/>
          <w:szCs w:val="28"/>
        </w:rPr>
        <w:t>,</w:t>
      </w:r>
      <w:r w:rsidR="00015BFC" w:rsidRPr="003E2AD3">
        <w:rPr>
          <w:color w:val="auto"/>
          <w:sz w:val="28"/>
          <w:szCs w:val="28"/>
          <w:lang w:val="en-US"/>
        </w:rPr>
        <w:t>05 times (p&gt;0.05) respectively.</w:t>
      </w:r>
    </w:p>
    <w:p w:rsidR="00A9481C" w:rsidRPr="00E87CD9" w:rsidRDefault="00A9481C" w:rsidP="00A9481C">
      <w:pPr>
        <w:ind w:firstLine="709"/>
        <w:jc w:val="both"/>
        <w:rPr>
          <w:color w:val="auto"/>
          <w:sz w:val="28"/>
          <w:szCs w:val="28"/>
        </w:rPr>
      </w:pPr>
      <w:r w:rsidRPr="00E87CD9">
        <w:rPr>
          <w:color w:val="auto"/>
          <w:sz w:val="28"/>
          <w:szCs w:val="28"/>
        </w:rPr>
        <w:lastRenderedPageBreak/>
        <w:t>Combined use of L-thyroxine, diclofenac sodium and chondroitin sulfate with the aim of increasing the non-inflammatory effect of single drugs is advisable for comorbid condition - osteoarthritis with hypothyroidism, renewal of morphometric dimensions of the affected joints, rupture, examination and vegetative activity of the gums and biochemical markers of the inflammatory process. The absence of biopharmaceutical interaction between the indicated preparations was established.</w:t>
      </w:r>
    </w:p>
    <w:p w:rsidR="00A9481C" w:rsidRPr="00E87CD9" w:rsidRDefault="00A9481C" w:rsidP="00A9481C">
      <w:pPr>
        <w:ind w:firstLine="709"/>
        <w:jc w:val="both"/>
        <w:rPr>
          <w:color w:val="auto"/>
          <w:sz w:val="28"/>
          <w:szCs w:val="28"/>
        </w:rPr>
      </w:pPr>
      <w:r w:rsidRPr="00E87CD9">
        <w:rPr>
          <w:color w:val="auto"/>
          <w:sz w:val="28"/>
          <w:szCs w:val="28"/>
        </w:rPr>
        <w:t>Combined use of diclofenac sodium, chondroitin sulfate and L-thyroxine promotes active regeneration of both cartilage and bone tissue with formation of neovasculogenesis areas, and combined use of L-thyroxine, diclofenac sodium and chondroitin sulfate can be recommended for clinical examination of osteoarthritis comorbid with hypothyroidism.</w:t>
      </w:r>
    </w:p>
    <w:p w:rsidR="00417DC7" w:rsidRPr="00E87CD9" w:rsidRDefault="00417DC7" w:rsidP="00417DC7">
      <w:pPr>
        <w:ind w:firstLine="709"/>
        <w:jc w:val="both"/>
        <w:rPr>
          <w:bCs/>
          <w:color w:val="auto"/>
          <w:sz w:val="28"/>
          <w:szCs w:val="28"/>
        </w:rPr>
      </w:pPr>
      <w:r w:rsidRPr="00E87CD9">
        <w:rPr>
          <w:bCs/>
          <w:i/>
          <w:color w:val="auto"/>
          <w:sz w:val="28"/>
          <w:szCs w:val="28"/>
        </w:rPr>
        <w:t>Key words:</w:t>
      </w:r>
      <w:r w:rsidRPr="00E87CD9">
        <w:rPr>
          <w:bCs/>
          <w:color w:val="auto"/>
          <w:sz w:val="28"/>
          <w:szCs w:val="28"/>
        </w:rPr>
        <w:t xml:space="preserve"> hypothyroidism, osteoarthritis, experimental models, non-steroidal anti-inflammatory drugs, non-opioid analgesics, chondroprotectors, diclofenac sodium, chondroitin sulfate, L-thyroxine, pain threshold, pain relief, pharmacotherapy, hyaline cartilage, joint, drug interaction.</w:t>
      </w:r>
    </w:p>
    <w:p w:rsidR="000F00D9" w:rsidRPr="00E87CD9" w:rsidRDefault="000F00D9" w:rsidP="00417DC7">
      <w:pPr>
        <w:ind w:firstLine="709"/>
        <w:jc w:val="center"/>
        <w:rPr>
          <w:b/>
          <w:color w:val="auto"/>
          <w:spacing w:val="8"/>
          <w:sz w:val="28"/>
          <w:szCs w:val="28"/>
        </w:rPr>
      </w:pPr>
    </w:p>
    <w:p w:rsidR="000F00D9" w:rsidRPr="00E87CD9" w:rsidRDefault="000F00D9" w:rsidP="00417DC7">
      <w:pPr>
        <w:ind w:firstLine="709"/>
        <w:jc w:val="center"/>
        <w:rPr>
          <w:b/>
          <w:color w:val="auto"/>
          <w:spacing w:val="8"/>
          <w:sz w:val="28"/>
          <w:szCs w:val="28"/>
        </w:rPr>
      </w:pPr>
    </w:p>
    <w:p w:rsidR="00417DC7" w:rsidRPr="00E87CD9" w:rsidRDefault="00417DC7" w:rsidP="00417DC7">
      <w:pPr>
        <w:ind w:firstLine="709"/>
        <w:jc w:val="center"/>
        <w:rPr>
          <w:b/>
          <w:color w:val="auto"/>
          <w:spacing w:val="8"/>
          <w:sz w:val="28"/>
          <w:szCs w:val="28"/>
        </w:rPr>
      </w:pPr>
      <w:r w:rsidRPr="00E87CD9">
        <w:rPr>
          <w:b/>
          <w:color w:val="auto"/>
          <w:spacing w:val="8"/>
          <w:sz w:val="28"/>
          <w:szCs w:val="28"/>
        </w:rPr>
        <w:t>АННОТАЦИЯ</w:t>
      </w:r>
    </w:p>
    <w:p w:rsidR="00417DC7" w:rsidRPr="00E87CD9" w:rsidRDefault="00417DC7" w:rsidP="00417DC7">
      <w:pPr>
        <w:ind w:firstLine="709"/>
        <w:jc w:val="both"/>
        <w:rPr>
          <w:b/>
          <w:bCs/>
          <w:color w:val="auto"/>
          <w:sz w:val="28"/>
          <w:szCs w:val="28"/>
        </w:rPr>
      </w:pPr>
      <w:r w:rsidRPr="00E87CD9">
        <w:rPr>
          <w:b/>
          <w:bCs/>
          <w:color w:val="auto"/>
          <w:spacing w:val="8"/>
          <w:sz w:val="28"/>
          <w:szCs w:val="28"/>
        </w:rPr>
        <w:t xml:space="preserve">Носивец Д.С. </w:t>
      </w:r>
      <w:r w:rsidRPr="00E87CD9">
        <w:rPr>
          <w:b/>
          <w:bCs/>
          <w:color w:val="auto"/>
          <w:sz w:val="28"/>
          <w:szCs w:val="28"/>
        </w:rPr>
        <w:t>Фармакологический анализ обезболивания и хондропротекции в условиях экспериментальн</w:t>
      </w:r>
      <w:r w:rsidR="003A6667" w:rsidRPr="00E87CD9">
        <w:rPr>
          <w:b/>
          <w:bCs/>
          <w:color w:val="auto"/>
          <w:sz w:val="28"/>
          <w:szCs w:val="28"/>
          <w:lang w:val="ru-RU"/>
        </w:rPr>
        <w:t>ого</w:t>
      </w:r>
      <w:r w:rsidR="003A6667" w:rsidRPr="00E87CD9">
        <w:rPr>
          <w:b/>
          <w:bCs/>
          <w:color w:val="auto"/>
          <w:sz w:val="28"/>
          <w:szCs w:val="28"/>
        </w:rPr>
        <w:t xml:space="preserve">остеоартроза </w:t>
      </w:r>
      <w:r w:rsidR="003A6667" w:rsidRPr="00E87CD9">
        <w:rPr>
          <w:b/>
          <w:bCs/>
          <w:color w:val="auto"/>
          <w:sz w:val="28"/>
          <w:szCs w:val="28"/>
          <w:lang w:val="ru-RU"/>
        </w:rPr>
        <w:t xml:space="preserve">на фоне </w:t>
      </w:r>
      <w:r w:rsidRPr="00E87CD9">
        <w:rPr>
          <w:b/>
          <w:bCs/>
          <w:color w:val="auto"/>
          <w:sz w:val="28"/>
          <w:szCs w:val="28"/>
        </w:rPr>
        <w:t>гипотиреоза</w:t>
      </w:r>
      <w:r w:rsidR="003A6667" w:rsidRPr="00E87CD9">
        <w:rPr>
          <w:b/>
          <w:bCs/>
          <w:color w:val="auto"/>
          <w:sz w:val="28"/>
          <w:szCs w:val="28"/>
          <w:lang w:val="ru-RU"/>
        </w:rPr>
        <w:t>.</w:t>
      </w:r>
      <w:r w:rsidRPr="00E87CD9">
        <w:rPr>
          <w:b/>
          <w:bCs/>
          <w:color w:val="auto"/>
          <w:spacing w:val="8"/>
          <w:sz w:val="28"/>
          <w:szCs w:val="28"/>
        </w:rPr>
        <w:t xml:space="preserve"> – На правах рукописи.</w:t>
      </w:r>
    </w:p>
    <w:p w:rsidR="00417DC7" w:rsidRPr="00E87CD9" w:rsidRDefault="00417DC7" w:rsidP="00417DC7">
      <w:pPr>
        <w:ind w:firstLine="709"/>
        <w:jc w:val="both"/>
        <w:rPr>
          <w:color w:val="auto"/>
          <w:sz w:val="28"/>
          <w:szCs w:val="28"/>
        </w:rPr>
      </w:pPr>
      <w:r w:rsidRPr="00E87CD9">
        <w:rPr>
          <w:color w:val="auto"/>
          <w:sz w:val="28"/>
          <w:szCs w:val="28"/>
        </w:rPr>
        <w:t xml:space="preserve">Диссертация на соискание учёной степени доктора медицинских наук по специальности 14.03.05 – фармакология. </w:t>
      </w:r>
      <w:r w:rsidRPr="00E87CD9">
        <w:rPr>
          <w:color w:val="auto"/>
          <w:sz w:val="28"/>
          <w:szCs w:val="28"/>
          <w:lang w:eastAsia="ar-SA"/>
        </w:rPr>
        <w:t>–</w:t>
      </w:r>
      <w:r w:rsidRPr="00E87CD9">
        <w:rPr>
          <w:color w:val="auto"/>
          <w:sz w:val="28"/>
          <w:szCs w:val="28"/>
        </w:rPr>
        <w:t xml:space="preserve"> Государственное учреждение «Институт фармакологии и токсикологии НАМН Украины», Киев, 2021.</w:t>
      </w:r>
    </w:p>
    <w:p w:rsidR="00E016DE" w:rsidRPr="00E87CD9" w:rsidRDefault="00E016DE" w:rsidP="00E016DE">
      <w:pPr>
        <w:ind w:firstLine="709"/>
        <w:jc w:val="both"/>
        <w:rPr>
          <w:color w:val="auto"/>
          <w:sz w:val="28"/>
          <w:szCs w:val="28"/>
        </w:rPr>
      </w:pPr>
      <w:r w:rsidRPr="00E87CD9">
        <w:rPr>
          <w:color w:val="auto"/>
          <w:sz w:val="28"/>
          <w:szCs w:val="28"/>
        </w:rPr>
        <w:t>В опытах на крысах установлено, что гипотиреоз приводит к гип</w:t>
      </w:r>
      <w:r w:rsidR="007F5B64">
        <w:rPr>
          <w:color w:val="auto"/>
          <w:sz w:val="28"/>
          <w:szCs w:val="28"/>
          <w:lang w:val="ru-RU"/>
        </w:rPr>
        <w:t>о</w:t>
      </w:r>
      <w:r w:rsidRPr="00E87CD9">
        <w:rPr>
          <w:color w:val="auto"/>
          <w:sz w:val="28"/>
          <w:szCs w:val="28"/>
        </w:rPr>
        <w:t>ал</w:t>
      </w:r>
      <w:r w:rsidRPr="00E87CD9">
        <w:rPr>
          <w:color w:val="auto"/>
          <w:sz w:val="28"/>
          <w:szCs w:val="28"/>
          <w:lang w:val="ru-RU"/>
        </w:rPr>
        <w:t>ь</w:t>
      </w:r>
      <w:r w:rsidRPr="00E87CD9">
        <w:rPr>
          <w:color w:val="auto"/>
          <w:sz w:val="28"/>
          <w:szCs w:val="28"/>
        </w:rPr>
        <w:t xml:space="preserve">гезии на фоне остеоартроза, о чем свидетельствует уменьшение порога болевой чувствительности на 17% (р&lt;0,05) </w:t>
      </w:r>
      <w:r w:rsidRPr="00E87CD9">
        <w:rPr>
          <w:color w:val="auto"/>
          <w:sz w:val="28"/>
          <w:szCs w:val="28"/>
          <w:lang w:val="ru-RU"/>
        </w:rPr>
        <w:t>при</w:t>
      </w:r>
      <w:r w:rsidRPr="00E87CD9">
        <w:rPr>
          <w:color w:val="auto"/>
          <w:sz w:val="28"/>
          <w:szCs w:val="28"/>
        </w:rPr>
        <w:t xml:space="preserve"> коморбидн</w:t>
      </w:r>
      <w:r w:rsidRPr="00E87CD9">
        <w:rPr>
          <w:color w:val="auto"/>
          <w:sz w:val="28"/>
          <w:szCs w:val="28"/>
          <w:lang w:val="ru-RU"/>
        </w:rPr>
        <w:t>ом</w:t>
      </w:r>
      <w:r w:rsidRPr="00E87CD9">
        <w:rPr>
          <w:color w:val="auto"/>
          <w:sz w:val="28"/>
          <w:szCs w:val="28"/>
        </w:rPr>
        <w:t xml:space="preserve"> состояни</w:t>
      </w:r>
      <w:r w:rsidRPr="00E87CD9">
        <w:rPr>
          <w:color w:val="auto"/>
          <w:sz w:val="28"/>
          <w:szCs w:val="28"/>
          <w:lang w:val="ru-RU"/>
        </w:rPr>
        <w:t>и,</w:t>
      </w:r>
      <w:r w:rsidRPr="00E87CD9">
        <w:rPr>
          <w:color w:val="auto"/>
          <w:sz w:val="28"/>
          <w:szCs w:val="28"/>
        </w:rPr>
        <w:t xml:space="preserve"> против 24% (р&lt;0,0</w:t>
      </w:r>
      <w:r w:rsidR="00800B0A" w:rsidRPr="00E87CD9">
        <w:rPr>
          <w:color w:val="auto"/>
          <w:sz w:val="28"/>
          <w:szCs w:val="28"/>
        </w:rPr>
        <w:t>5</w:t>
      </w:r>
      <w:r w:rsidRPr="00E87CD9">
        <w:rPr>
          <w:color w:val="auto"/>
          <w:sz w:val="28"/>
          <w:szCs w:val="28"/>
        </w:rPr>
        <w:t xml:space="preserve">) </w:t>
      </w:r>
      <w:r w:rsidRPr="00E87CD9">
        <w:rPr>
          <w:color w:val="auto"/>
          <w:sz w:val="28"/>
          <w:szCs w:val="28"/>
          <w:lang w:val="ru-RU"/>
        </w:rPr>
        <w:t>при</w:t>
      </w:r>
      <w:r w:rsidRPr="00E87CD9">
        <w:rPr>
          <w:color w:val="auto"/>
          <w:sz w:val="28"/>
          <w:szCs w:val="28"/>
        </w:rPr>
        <w:t xml:space="preserve"> остеоартроз</w:t>
      </w:r>
      <w:r w:rsidRPr="00E87CD9">
        <w:rPr>
          <w:color w:val="auto"/>
          <w:sz w:val="28"/>
          <w:szCs w:val="28"/>
          <w:lang w:val="ru-RU"/>
        </w:rPr>
        <w:t>е</w:t>
      </w:r>
      <w:r w:rsidRPr="00E87CD9">
        <w:rPr>
          <w:color w:val="auto"/>
          <w:sz w:val="28"/>
          <w:szCs w:val="28"/>
        </w:rPr>
        <w:t xml:space="preserve">. Экспериментальные патологические состояния - остеоартроз и гипотиреоз значительно изменяют антиноцицептивную активность лекарственных средств, приводя к потере ими анальгезирующих свойств. В условиях остеоартроза и гипотиреоза </w:t>
      </w:r>
      <w:r w:rsidRPr="00E87CD9">
        <w:rPr>
          <w:color w:val="auto"/>
          <w:sz w:val="28"/>
          <w:szCs w:val="28"/>
          <w:lang w:val="ru-RU"/>
        </w:rPr>
        <w:t xml:space="preserve">на </w:t>
      </w:r>
      <w:r w:rsidRPr="00E87CD9">
        <w:rPr>
          <w:color w:val="auto"/>
          <w:sz w:val="28"/>
          <w:szCs w:val="28"/>
        </w:rPr>
        <w:t>фоне заместительной гормональной терапии L-тироксином установлено, что по интенсивности антиноцицептивно</w:t>
      </w:r>
      <w:r w:rsidRPr="00E87CD9">
        <w:rPr>
          <w:color w:val="auto"/>
          <w:sz w:val="28"/>
          <w:szCs w:val="28"/>
          <w:lang w:val="ru-RU"/>
        </w:rPr>
        <w:t>го</w:t>
      </w:r>
      <w:r w:rsidRPr="00E87CD9">
        <w:rPr>
          <w:color w:val="auto"/>
          <w:sz w:val="28"/>
          <w:szCs w:val="28"/>
        </w:rPr>
        <w:t xml:space="preserve"> действия эти препараты располагаются следующим образом: диклофенак натрия (+212%)</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ибупрофен (+144%)</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нимесулид (+134%)</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парацетамол (+116%)</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мелоксикам (+104%)</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 xml:space="preserve">0,001) </w:t>
      </w:r>
      <w:r w:rsidRPr="00E87CD9">
        <w:rPr>
          <w:color w:val="auto"/>
          <w:sz w:val="28"/>
          <w:szCs w:val="28"/>
        </w:rPr>
        <w:t>&gt; целекоксиб (+93%)</w:t>
      </w:r>
      <w:r w:rsidR="00800B0A" w:rsidRPr="00E87CD9">
        <w:rPr>
          <w:rFonts w:eastAsia="Calibri"/>
          <w:color w:val="auto"/>
          <w:sz w:val="28"/>
          <w:szCs w:val="28"/>
        </w:rPr>
        <w:t>(р</w:t>
      </w:r>
      <w:r w:rsidR="00800B0A" w:rsidRPr="00E87CD9">
        <w:rPr>
          <w:rFonts w:eastAsia="Calibri"/>
          <w:iCs/>
          <w:color w:val="auto"/>
          <w:sz w:val="28"/>
          <w:szCs w:val="28"/>
        </w:rPr>
        <w:t>&lt;</w:t>
      </w:r>
      <w:r w:rsidR="00800B0A" w:rsidRPr="00E87CD9">
        <w:rPr>
          <w:rFonts w:eastAsia="Calibri"/>
          <w:color w:val="auto"/>
          <w:sz w:val="28"/>
          <w:szCs w:val="28"/>
        </w:rPr>
        <w:t>0,001)</w:t>
      </w:r>
      <w:r w:rsidRPr="00E87CD9">
        <w:rPr>
          <w:color w:val="auto"/>
          <w:sz w:val="28"/>
          <w:szCs w:val="28"/>
        </w:rPr>
        <w:t>, что отражает высокую антиноцицептивную активность диклофенака натрия.</w:t>
      </w:r>
    </w:p>
    <w:p w:rsidR="00E016DE" w:rsidRPr="00E87CD9" w:rsidRDefault="00E016DE" w:rsidP="00E016DE">
      <w:pPr>
        <w:ind w:firstLine="709"/>
        <w:jc w:val="both"/>
        <w:rPr>
          <w:color w:val="auto"/>
          <w:sz w:val="28"/>
          <w:szCs w:val="28"/>
        </w:rPr>
      </w:pPr>
      <w:r w:rsidRPr="00E87CD9">
        <w:rPr>
          <w:color w:val="auto"/>
          <w:sz w:val="28"/>
          <w:szCs w:val="28"/>
        </w:rPr>
        <w:t xml:space="preserve">Определено, что на фоне коморбидных состояний - остеоартроза с гипотиреозом целесообразно комбинированное применение L-тироксина, диклофенака натрия и хондроитина сульфата </w:t>
      </w:r>
      <w:r w:rsidR="00BE4DC2" w:rsidRPr="00E87CD9">
        <w:rPr>
          <w:color w:val="auto"/>
          <w:sz w:val="28"/>
          <w:szCs w:val="28"/>
          <w:lang w:val="ru-RU"/>
        </w:rPr>
        <w:t>для</w:t>
      </w:r>
      <w:r w:rsidRPr="00E87CD9">
        <w:rPr>
          <w:color w:val="auto"/>
          <w:sz w:val="28"/>
          <w:szCs w:val="28"/>
        </w:rPr>
        <w:t xml:space="preserve"> усиления обезболивающего эффекта отдельных препаратов, восстановлени</w:t>
      </w:r>
      <w:r w:rsidR="00BE4DC2" w:rsidRPr="00E87CD9">
        <w:rPr>
          <w:color w:val="auto"/>
          <w:sz w:val="28"/>
          <w:szCs w:val="28"/>
          <w:lang w:val="ru-RU"/>
        </w:rPr>
        <w:t>я</w:t>
      </w:r>
      <w:r w:rsidRPr="00E87CD9">
        <w:rPr>
          <w:color w:val="auto"/>
          <w:sz w:val="28"/>
          <w:szCs w:val="28"/>
        </w:rPr>
        <w:t xml:space="preserve"> морфометрических размеров пораженных суставов, двигательной, исследовательской и вегетативной активности крыс и биохимических маркеров воспалительного процесса. Комбинированное применение диклофенака натрия, хондроитина сульфата и L-</w:t>
      </w:r>
      <w:r w:rsidRPr="00E87CD9">
        <w:rPr>
          <w:color w:val="auto"/>
          <w:sz w:val="28"/>
          <w:szCs w:val="28"/>
        </w:rPr>
        <w:lastRenderedPageBreak/>
        <w:t>тироксина способствует активной регенерации как хрящевой, так и костной ткани с формированием участков неоваскулогенез</w:t>
      </w:r>
      <w:r w:rsidR="00BE4DC2" w:rsidRPr="00E87CD9">
        <w:rPr>
          <w:color w:val="auto"/>
          <w:sz w:val="28"/>
          <w:szCs w:val="28"/>
          <w:lang w:val="ru-RU"/>
        </w:rPr>
        <w:t>а</w:t>
      </w:r>
      <w:r w:rsidRPr="00E87CD9">
        <w:rPr>
          <w:color w:val="auto"/>
          <w:sz w:val="28"/>
          <w:szCs w:val="28"/>
        </w:rPr>
        <w:t>, а комбинированное применение L-тироксина, диклофенака натрия и хондроитина сульфата можно рекомендовать к использованию по</w:t>
      </w:r>
      <w:r w:rsidR="00BE4DC2" w:rsidRPr="00E87CD9">
        <w:rPr>
          <w:color w:val="auto"/>
          <w:sz w:val="28"/>
          <w:szCs w:val="28"/>
          <w:lang w:val="ru-RU"/>
        </w:rPr>
        <w:t>сле</w:t>
      </w:r>
      <w:r w:rsidRPr="00E87CD9">
        <w:rPr>
          <w:color w:val="auto"/>
          <w:sz w:val="28"/>
          <w:szCs w:val="28"/>
        </w:rPr>
        <w:t xml:space="preserve"> клинического исследования на фоне остеоартроза, </w:t>
      </w:r>
      <w:r w:rsidR="00BE4DC2" w:rsidRPr="00E87CD9">
        <w:rPr>
          <w:color w:val="auto"/>
          <w:sz w:val="28"/>
          <w:szCs w:val="28"/>
          <w:lang w:val="ru-RU"/>
        </w:rPr>
        <w:t>к</w:t>
      </w:r>
      <w:r w:rsidRPr="00E87CD9">
        <w:rPr>
          <w:color w:val="auto"/>
          <w:sz w:val="28"/>
          <w:szCs w:val="28"/>
        </w:rPr>
        <w:t>оморбидно</w:t>
      </w:r>
      <w:r w:rsidR="00BE4DC2" w:rsidRPr="00E87CD9">
        <w:rPr>
          <w:color w:val="auto"/>
          <w:sz w:val="28"/>
          <w:szCs w:val="28"/>
          <w:lang w:val="ru-RU"/>
        </w:rPr>
        <w:t>го</w:t>
      </w:r>
      <w:r w:rsidRPr="00E87CD9">
        <w:rPr>
          <w:color w:val="auto"/>
          <w:sz w:val="28"/>
          <w:szCs w:val="28"/>
        </w:rPr>
        <w:t xml:space="preserve"> с гипотиреозом.</w:t>
      </w:r>
    </w:p>
    <w:p w:rsidR="00417DC7" w:rsidRPr="00E87CD9" w:rsidRDefault="00417DC7" w:rsidP="00417DC7">
      <w:pPr>
        <w:ind w:firstLine="709"/>
        <w:jc w:val="both"/>
        <w:rPr>
          <w:color w:val="auto"/>
          <w:sz w:val="28"/>
          <w:szCs w:val="28"/>
        </w:rPr>
      </w:pPr>
      <w:r w:rsidRPr="00E87CD9">
        <w:rPr>
          <w:bCs/>
          <w:i/>
          <w:iCs/>
          <w:color w:val="auto"/>
          <w:sz w:val="28"/>
          <w:szCs w:val="28"/>
        </w:rPr>
        <w:t>Ключевые слова:</w:t>
      </w:r>
      <w:r w:rsidRPr="00E87CD9">
        <w:rPr>
          <w:bCs/>
          <w:iCs/>
          <w:color w:val="auto"/>
          <w:sz w:val="28"/>
          <w:szCs w:val="28"/>
        </w:rPr>
        <w:t xml:space="preserve"> гипотиреоз, остеоартроз, экспериментальные модели, нестероидные противовоспалительные средства, неопиоидные анальгетики, хондропротекторы, диклофенак натрия, хондроитина сульфат, L-тироксин, болевой порог, обезболивание, фармакотерапия, гиалиновый хрящ, сустав, взаимодействие лекарственных средств.</w:t>
      </w:r>
    </w:p>
    <w:p w:rsidR="000F00D9" w:rsidRDefault="000F00D9" w:rsidP="00417DC7">
      <w:pPr>
        <w:ind w:firstLine="709"/>
        <w:jc w:val="both"/>
        <w:rPr>
          <w:color w:val="auto"/>
          <w:sz w:val="28"/>
          <w:szCs w:val="28"/>
        </w:rPr>
      </w:pPr>
    </w:p>
    <w:p w:rsidR="00A232D1" w:rsidRPr="00E87CD9" w:rsidRDefault="00A232D1" w:rsidP="00417DC7">
      <w:pPr>
        <w:ind w:firstLine="709"/>
        <w:jc w:val="both"/>
        <w:rPr>
          <w:color w:val="auto"/>
          <w:sz w:val="28"/>
          <w:szCs w:val="28"/>
        </w:rPr>
      </w:pPr>
    </w:p>
    <w:p w:rsidR="00417DC7" w:rsidRDefault="00417DC7" w:rsidP="00417DC7">
      <w:pPr>
        <w:pStyle w:val="1"/>
        <w:ind w:left="0" w:firstLine="709"/>
        <w:rPr>
          <w:color w:val="auto"/>
        </w:rPr>
      </w:pPr>
      <w:r w:rsidRPr="00E87CD9">
        <w:rPr>
          <w:color w:val="auto"/>
        </w:rPr>
        <w:t>ПЕРЕЛІК УМОВНИХ СКОРОЧЕНЬ</w:t>
      </w:r>
    </w:p>
    <w:p w:rsidR="00A232D1" w:rsidRPr="00E87CD9" w:rsidRDefault="00A232D1" w:rsidP="00417DC7">
      <w:pPr>
        <w:pStyle w:val="1"/>
        <w:ind w:left="0" w:firstLine="709"/>
        <w:rPr>
          <w:color w:val="auto"/>
        </w:rPr>
      </w:pPr>
      <w:bookmarkStart w:id="1" w:name="_GoBack"/>
      <w:bookmarkEnd w:id="1"/>
    </w:p>
    <w:p w:rsidR="00417DC7" w:rsidRPr="00E87CD9" w:rsidRDefault="00417DC7" w:rsidP="00417DC7">
      <w:pPr>
        <w:jc w:val="both"/>
        <w:rPr>
          <w:color w:val="auto"/>
          <w:sz w:val="28"/>
          <w:szCs w:val="28"/>
        </w:rPr>
      </w:pPr>
      <w:r w:rsidRPr="00E87CD9">
        <w:rPr>
          <w:color w:val="auto"/>
          <w:sz w:val="28"/>
          <w:szCs w:val="28"/>
        </w:rPr>
        <w:t>ЛЗ – лікарський засіб</w:t>
      </w:r>
    </w:p>
    <w:p w:rsidR="00417DC7" w:rsidRPr="00E87CD9" w:rsidRDefault="00417DC7" w:rsidP="00417DC7">
      <w:pPr>
        <w:jc w:val="both"/>
        <w:rPr>
          <w:color w:val="auto"/>
          <w:sz w:val="28"/>
          <w:szCs w:val="28"/>
        </w:rPr>
      </w:pPr>
      <w:r w:rsidRPr="00E87CD9">
        <w:rPr>
          <w:color w:val="auto"/>
          <w:sz w:val="28"/>
          <w:szCs w:val="28"/>
        </w:rPr>
        <w:t>ЩЗ – щитоподібна залоза</w:t>
      </w:r>
    </w:p>
    <w:p w:rsidR="00417DC7" w:rsidRPr="00E87CD9" w:rsidRDefault="00417DC7" w:rsidP="00417DC7">
      <w:pPr>
        <w:jc w:val="both"/>
        <w:rPr>
          <w:color w:val="auto"/>
          <w:sz w:val="28"/>
          <w:szCs w:val="28"/>
        </w:rPr>
      </w:pPr>
      <w:r w:rsidRPr="00E87CD9">
        <w:rPr>
          <w:color w:val="auto"/>
          <w:sz w:val="28"/>
          <w:szCs w:val="28"/>
        </w:rPr>
        <w:t>ГІТ – гіпотиреоз</w:t>
      </w:r>
    </w:p>
    <w:p w:rsidR="00417DC7" w:rsidRPr="00E87CD9" w:rsidRDefault="00417DC7" w:rsidP="00417DC7">
      <w:pPr>
        <w:jc w:val="both"/>
        <w:rPr>
          <w:color w:val="auto"/>
          <w:sz w:val="28"/>
          <w:szCs w:val="28"/>
        </w:rPr>
      </w:pPr>
      <w:r w:rsidRPr="00E87CD9">
        <w:rPr>
          <w:color w:val="auto"/>
          <w:sz w:val="28"/>
          <w:szCs w:val="28"/>
        </w:rPr>
        <w:t>ОА – остеоартроз</w:t>
      </w:r>
    </w:p>
    <w:p w:rsidR="00417DC7" w:rsidRPr="00E87CD9" w:rsidRDefault="00417DC7" w:rsidP="00417DC7">
      <w:pPr>
        <w:pStyle w:val="WW-"/>
        <w:spacing w:after="0" w:line="240" w:lineRule="auto"/>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ЕГ – експериментальний гіпотиреоз</w:t>
      </w:r>
    </w:p>
    <w:p w:rsidR="00417DC7" w:rsidRPr="00E87CD9" w:rsidRDefault="00417DC7" w:rsidP="00417DC7">
      <w:pPr>
        <w:pStyle w:val="WW-"/>
        <w:spacing w:after="0" w:line="240" w:lineRule="auto"/>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ЕОА – експериментальний остеоартроз</w:t>
      </w:r>
    </w:p>
    <w:p w:rsidR="00417DC7" w:rsidRPr="00E87CD9" w:rsidRDefault="00417DC7" w:rsidP="00417DC7">
      <w:pPr>
        <w:jc w:val="both"/>
        <w:rPr>
          <w:color w:val="auto"/>
          <w:sz w:val="28"/>
          <w:szCs w:val="28"/>
        </w:rPr>
      </w:pPr>
      <w:r w:rsidRPr="00E87CD9">
        <w:rPr>
          <w:color w:val="auto"/>
          <w:sz w:val="28"/>
          <w:szCs w:val="28"/>
        </w:rPr>
        <w:t>НПЗЗ – нестероїдні протизапальні лікарські засоби</w:t>
      </w:r>
    </w:p>
    <w:p w:rsidR="00417DC7" w:rsidRPr="00E87CD9" w:rsidRDefault="00417DC7" w:rsidP="00417DC7">
      <w:pPr>
        <w:jc w:val="both"/>
        <w:rPr>
          <w:color w:val="auto"/>
          <w:sz w:val="28"/>
          <w:szCs w:val="28"/>
        </w:rPr>
      </w:pPr>
      <w:r w:rsidRPr="00E87CD9">
        <w:rPr>
          <w:color w:val="auto"/>
          <w:sz w:val="28"/>
          <w:szCs w:val="28"/>
          <w:lang w:eastAsia="ar-SA"/>
        </w:rPr>
        <w:t>ХП – хондропротектори</w:t>
      </w:r>
    </w:p>
    <w:p w:rsidR="00417DC7" w:rsidRPr="00E87CD9" w:rsidRDefault="00417DC7" w:rsidP="00417DC7">
      <w:pPr>
        <w:jc w:val="both"/>
        <w:rPr>
          <w:color w:val="auto"/>
          <w:sz w:val="28"/>
          <w:szCs w:val="28"/>
        </w:rPr>
      </w:pPr>
      <w:r w:rsidRPr="00E87CD9">
        <w:rPr>
          <w:color w:val="auto"/>
          <w:sz w:val="28"/>
          <w:szCs w:val="28"/>
          <w:lang w:eastAsia="ar-SA"/>
        </w:rPr>
        <w:t>ІЛ – інтерлейкін</w:t>
      </w:r>
    </w:p>
    <w:p w:rsidR="00417DC7" w:rsidRPr="00E87CD9" w:rsidRDefault="00417DC7" w:rsidP="00417DC7">
      <w:pPr>
        <w:jc w:val="both"/>
        <w:rPr>
          <w:color w:val="auto"/>
          <w:sz w:val="28"/>
          <w:szCs w:val="28"/>
        </w:rPr>
      </w:pPr>
      <w:r w:rsidRPr="00E87CD9">
        <w:rPr>
          <w:color w:val="auto"/>
          <w:sz w:val="28"/>
          <w:szCs w:val="28"/>
          <w:lang w:eastAsia="ar-SA"/>
        </w:rPr>
        <w:t>ФНП – фактор некрозу пухлин</w:t>
      </w:r>
    </w:p>
    <w:p w:rsidR="00417DC7" w:rsidRPr="00E87CD9" w:rsidRDefault="00417DC7" w:rsidP="00417DC7">
      <w:pPr>
        <w:jc w:val="both"/>
        <w:rPr>
          <w:color w:val="auto"/>
          <w:sz w:val="28"/>
          <w:szCs w:val="28"/>
        </w:rPr>
      </w:pPr>
      <w:r w:rsidRPr="00E87CD9">
        <w:rPr>
          <w:color w:val="auto"/>
          <w:sz w:val="28"/>
          <w:szCs w:val="28"/>
          <w:lang w:eastAsia="ar-SA"/>
        </w:rPr>
        <w:t>ММП – матриксні металопротеїнази</w:t>
      </w:r>
    </w:p>
    <w:p w:rsidR="00417DC7" w:rsidRPr="00E87CD9" w:rsidRDefault="00417DC7" w:rsidP="00417DC7">
      <w:pPr>
        <w:jc w:val="both"/>
        <w:rPr>
          <w:color w:val="auto"/>
          <w:sz w:val="28"/>
          <w:szCs w:val="28"/>
        </w:rPr>
      </w:pPr>
      <w:r w:rsidRPr="00E87CD9">
        <w:rPr>
          <w:color w:val="auto"/>
          <w:sz w:val="28"/>
          <w:szCs w:val="28"/>
          <w:lang w:eastAsia="ar-SA"/>
        </w:rPr>
        <w:t>СРП – С-реактивний протеїн</w:t>
      </w:r>
    </w:p>
    <w:p w:rsidR="00417DC7" w:rsidRPr="00E87CD9" w:rsidRDefault="00417DC7" w:rsidP="00417DC7">
      <w:pPr>
        <w:jc w:val="both"/>
        <w:rPr>
          <w:color w:val="auto"/>
          <w:sz w:val="28"/>
          <w:szCs w:val="28"/>
          <w:lang w:eastAsia="ar-SA"/>
        </w:rPr>
      </w:pPr>
      <w:r w:rsidRPr="00E87CD9">
        <w:rPr>
          <w:color w:val="auto"/>
          <w:sz w:val="28"/>
          <w:szCs w:val="28"/>
          <w:lang w:eastAsia="ar-SA"/>
        </w:rPr>
        <w:t>КЛФ – кісткова лужна фосфатаза</w:t>
      </w:r>
    </w:p>
    <w:p w:rsidR="00417DC7" w:rsidRPr="00E87CD9" w:rsidRDefault="00417DC7" w:rsidP="00417DC7">
      <w:pPr>
        <w:jc w:val="both"/>
        <w:rPr>
          <w:color w:val="auto"/>
          <w:sz w:val="28"/>
          <w:szCs w:val="28"/>
        </w:rPr>
      </w:pPr>
      <w:r w:rsidRPr="00E87CD9">
        <w:rPr>
          <w:color w:val="auto"/>
          <w:sz w:val="28"/>
          <w:szCs w:val="28"/>
          <w:lang w:eastAsia="ar-SA"/>
        </w:rPr>
        <w:t>ГАГ – глікозаміноглікани</w:t>
      </w:r>
    </w:p>
    <w:p w:rsidR="00417DC7" w:rsidRPr="00E87CD9" w:rsidRDefault="00417DC7" w:rsidP="00417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szCs w:val="28"/>
        </w:rPr>
      </w:pPr>
      <w:r w:rsidRPr="00E87CD9">
        <w:rPr>
          <w:color w:val="auto"/>
          <w:sz w:val="28"/>
          <w:szCs w:val="28"/>
          <w:lang w:eastAsia="ru-RU"/>
        </w:rPr>
        <w:t xml:space="preserve">CTX-I </w:t>
      </w:r>
      <w:r w:rsidRPr="00E87CD9">
        <w:rPr>
          <w:color w:val="auto"/>
          <w:sz w:val="28"/>
          <w:szCs w:val="28"/>
          <w:lang w:eastAsia="ar-SA"/>
        </w:rPr>
        <w:t>–</w:t>
      </w:r>
      <w:r w:rsidRPr="00E87CD9">
        <w:rPr>
          <w:color w:val="auto"/>
          <w:sz w:val="28"/>
          <w:szCs w:val="28"/>
          <w:lang w:eastAsia="ru-RU"/>
        </w:rPr>
        <w:t xml:space="preserve"> маркер С-телопептиду колагену I типу</w:t>
      </w:r>
    </w:p>
    <w:p w:rsidR="00417DC7" w:rsidRPr="00E87CD9" w:rsidRDefault="00417DC7" w:rsidP="00417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szCs w:val="28"/>
        </w:rPr>
      </w:pPr>
      <w:r w:rsidRPr="00E87CD9">
        <w:rPr>
          <w:color w:val="auto"/>
          <w:sz w:val="28"/>
          <w:szCs w:val="28"/>
          <w:lang w:eastAsia="ru-RU"/>
        </w:rPr>
        <w:t xml:space="preserve">CTX-II </w:t>
      </w:r>
      <w:r w:rsidRPr="00E87CD9">
        <w:rPr>
          <w:color w:val="auto"/>
          <w:sz w:val="28"/>
          <w:szCs w:val="28"/>
          <w:lang w:eastAsia="ar-SA"/>
        </w:rPr>
        <w:t>–</w:t>
      </w:r>
      <w:r w:rsidRPr="00E87CD9">
        <w:rPr>
          <w:color w:val="auto"/>
          <w:sz w:val="28"/>
          <w:szCs w:val="28"/>
          <w:lang w:eastAsia="ru-RU"/>
        </w:rPr>
        <w:t xml:space="preserve"> маркер С-телопептиду колагену II типу</w:t>
      </w:r>
    </w:p>
    <w:p w:rsidR="00417DC7" w:rsidRPr="00E87CD9" w:rsidRDefault="00417DC7" w:rsidP="00417DC7">
      <w:pPr>
        <w:jc w:val="both"/>
        <w:rPr>
          <w:color w:val="auto"/>
          <w:sz w:val="28"/>
          <w:szCs w:val="28"/>
        </w:rPr>
      </w:pPr>
      <w:r w:rsidRPr="00E87CD9">
        <w:rPr>
          <w:color w:val="auto"/>
          <w:sz w:val="28"/>
          <w:szCs w:val="28"/>
          <w:lang w:eastAsia="ar-SA"/>
        </w:rPr>
        <w:t>МОК – монойодоцтова кислота</w:t>
      </w:r>
    </w:p>
    <w:p w:rsidR="00417DC7" w:rsidRPr="00E87CD9" w:rsidRDefault="00417DC7" w:rsidP="00417DC7">
      <w:pPr>
        <w:jc w:val="both"/>
        <w:rPr>
          <w:color w:val="auto"/>
          <w:sz w:val="28"/>
          <w:szCs w:val="28"/>
        </w:rPr>
      </w:pPr>
      <w:r w:rsidRPr="00E87CD9">
        <w:rPr>
          <w:color w:val="auto"/>
          <w:sz w:val="28"/>
          <w:szCs w:val="28"/>
          <w:lang w:eastAsia="ar-SA"/>
        </w:rPr>
        <w:t xml:space="preserve">ТТГ – </w:t>
      </w:r>
      <w:r w:rsidRPr="00E87CD9">
        <w:rPr>
          <w:color w:val="auto"/>
          <w:sz w:val="28"/>
          <w:szCs w:val="28"/>
          <w:lang w:eastAsia="ru-RU"/>
        </w:rPr>
        <w:t>тиреотропин або гормон, стимулюючий щитоподібну залозу</w:t>
      </w:r>
    </w:p>
    <w:p w:rsidR="00417DC7" w:rsidRPr="00E87CD9" w:rsidRDefault="00417DC7" w:rsidP="00417DC7">
      <w:pPr>
        <w:jc w:val="both"/>
        <w:rPr>
          <w:color w:val="auto"/>
          <w:sz w:val="28"/>
          <w:szCs w:val="28"/>
        </w:rPr>
      </w:pPr>
      <w:r w:rsidRPr="00E87CD9">
        <w:rPr>
          <w:color w:val="auto"/>
          <w:sz w:val="28"/>
          <w:szCs w:val="28"/>
          <w:lang w:eastAsia="ar-SA"/>
        </w:rPr>
        <w:t xml:space="preserve">Т3 – </w:t>
      </w:r>
      <w:r w:rsidRPr="00E87CD9">
        <w:rPr>
          <w:color w:val="auto"/>
          <w:sz w:val="28"/>
          <w:szCs w:val="28"/>
          <w:lang w:eastAsia="ru-RU"/>
        </w:rPr>
        <w:t>вільний трийодтиронин</w:t>
      </w:r>
    </w:p>
    <w:p w:rsidR="00417DC7" w:rsidRPr="00E87CD9" w:rsidRDefault="00417DC7" w:rsidP="00417DC7">
      <w:pPr>
        <w:jc w:val="both"/>
        <w:rPr>
          <w:color w:val="auto"/>
          <w:sz w:val="28"/>
          <w:szCs w:val="28"/>
        </w:rPr>
      </w:pPr>
      <w:r w:rsidRPr="00E87CD9">
        <w:rPr>
          <w:color w:val="auto"/>
          <w:sz w:val="28"/>
          <w:szCs w:val="28"/>
          <w:lang w:eastAsia="ar-SA"/>
        </w:rPr>
        <w:t xml:space="preserve">Т4 – </w:t>
      </w:r>
      <w:r w:rsidRPr="00E87CD9">
        <w:rPr>
          <w:color w:val="auto"/>
          <w:sz w:val="28"/>
          <w:szCs w:val="28"/>
          <w:lang w:eastAsia="ru-RU"/>
        </w:rPr>
        <w:t>вільний тироксин</w:t>
      </w:r>
    </w:p>
    <w:p w:rsidR="00417DC7" w:rsidRPr="00E87CD9" w:rsidRDefault="00417DC7" w:rsidP="00417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szCs w:val="28"/>
        </w:rPr>
      </w:pPr>
      <w:r w:rsidRPr="00E87CD9">
        <w:rPr>
          <w:color w:val="auto"/>
          <w:sz w:val="28"/>
          <w:szCs w:val="28"/>
          <w:lang w:eastAsia="ru-RU"/>
        </w:rPr>
        <w:t xml:space="preserve">ІФА </w:t>
      </w:r>
      <w:r w:rsidRPr="00E87CD9">
        <w:rPr>
          <w:color w:val="auto"/>
          <w:sz w:val="28"/>
          <w:szCs w:val="28"/>
          <w:lang w:eastAsia="ar-SA"/>
        </w:rPr>
        <w:t>–</w:t>
      </w:r>
      <w:r w:rsidRPr="00E87CD9">
        <w:rPr>
          <w:color w:val="auto"/>
          <w:sz w:val="28"/>
          <w:szCs w:val="28"/>
          <w:lang w:eastAsia="ru-RU"/>
        </w:rPr>
        <w:t xml:space="preserve"> імуно-ферментний аналіз</w:t>
      </w:r>
    </w:p>
    <w:p w:rsidR="00417DC7" w:rsidRPr="00E87CD9" w:rsidRDefault="00417DC7" w:rsidP="00417DC7">
      <w:pPr>
        <w:pStyle w:val="WW-"/>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auto"/>
          <w:sz w:val="28"/>
          <w:szCs w:val="28"/>
          <w:lang w:val="uk-UA" w:eastAsia="ru-RU"/>
        </w:rPr>
      </w:pPr>
      <w:r w:rsidRPr="00E87CD9">
        <w:rPr>
          <w:rFonts w:ascii="Times New Roman" w:hAnsi="Times New Roman" w:cs="Times New Roman"/>
          <w:color w:val="auto"/>
          <w:sz w:val="28"/>
          <w:szCs w:val="28"/>
          <w:lang w:val="uk-UA" w:eastAsia="ru-RU"/>
        </w:rPr>
        <w:t>ІЩ – інтактні щури</w:t>
      </w:r>
    </w:p>
    <w:p w:rsidR="00417DC7" w:rsidRPr="00E87CD9" w:rsidRDefault="00417DC7" w:rsidP="00417DC7">
      <w:pPr>
        <w:pStyle w:val="WW-"/>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eastAsia="ru-RU"/>
        </w:rPr>
        <w:t>ВС – вихідний стан</w:t>
      </w:r>
    </w:p>
    <w:p w:rsidR="00417DC7" w:rsidRPr="00E87CD9" w:rsidRDefault="00417DC7" w:rsidP="00417DC7">
      <w:pPr>
        <w:pStyle w:val="WW-"/>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auto"/>
          <w:sz w:val="28"/>
          <w:szCs w:val="28"/>
          <w:lang w:val="uk-UA" w:eastAsia="ru-RU"/>
        </w:rPr>
      </w:pPr>
      <w:r w:rsidRPr="00E87CD9">
        <w:rPr>
          <w:rFonts w:ascii="Times New Roman" w:hAnsi="Times New Roman" w:cs="Times New Roman"/>
          <w:color w:val="auto"/>
          <w:sz w:val="28"/>
          <w:szCs w:val="28"/>
          <w:lang w:val="uk-UA" w:eastAsia="ru-RU"/>
        </w:rPr>
        <w:t>Т – L-тироксин (левотироксин)</w:t>
      </w:r>
    </w:p>
    <w:p w:rsidR="00417DC7" w:rsidRPr="00E87CD9" w:rsidRDefault="00417DC7" w:rsidP="00417DC7">
      <w:pPr>
        <w:pStyle w:val="WW-"/>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eastAsia="ru-RU"/>
        </w:rPr>
        <w:t>ХС – хондроїтину сульфат</w:t>
      </w:r>
    </w:p>
    <w:p w:rsidR="00417DC7" w:rsidRPr="00E87CD9" w:rsidRDefault="00417DC7" w:rsidP="00417DC7">
      <w:pPr>
        <w:jc w:val="both"/>
        <w:rPr>
          <w:color w:val="auto"/>
          <w:sz w:val="28"/>
          <w:szCs w:val="28"/>
        </w:rPr>
      </w:pPr>
      <w:r w:rsidRPr="00E87CD9">
        <w:rPr>
          <w:color w:val="auto"/>
          <w:sz w:val="28"/>
          <w:szCs w:val="28"/>
        </w:rPr>
        <w:t xml:space="preserve">Д </w:t>
      </w:r>
      <w:r w:rsidRPr="00E87CD9">
        <w:rPr>
          <w:color w:val="auto"/>
          <w:sz w:val="28"/>
          <w:szCs w:val="28"/>
          <w:lang w:eastAsia="ru-RU"/>
        </w:rPr>
        <w:t>–</w:t>
      </w:r>
      <w:r w:rsidRPr="00E87CD9">
        <w:rPr>
          <w:color w:val="auto"/>
          <w:sz w:val="28"/>
          <w:szCs w:val="28"/>
        </w:rPr>
        <w:t xml:space="preserve"> диклофенак натрію</w:t>
      </w:r>
    </w:p>
    <w:p w:rsidR="00417DC7" w:rsidRPr="00E87CD9" w:rsidRDefault="00417DC7" w:rsidP="00417DC7">
      <w:pPr>
        <w:jc w:val="both"/>
        <w:rPr>
          <w:color w:val="auto"/>
          <w:sz w:val="28"/>
          <w:szCs w:val="28"/>
        </w:rPr>
      </w:pPr>
      <w:r w:rsidRPr="00E87CD9">
        <w:rPr>
          <w:color w:val="auto"/>
          <w:sz w:val="28"/>
          <w:szCs w:val="28"/>
        </w:rPr>
        <w:t xml:space="preserve">І </w:t>
      </w:r>
      <w:r w:rsidRPr="00E87CD9">
        <w:rPr>
          <w:color w:val="auto"/>
          <w:sz w:val="28"/>
          <w:szCs w:val="28"/>
          <w:lang w:eastAsia="ru-RU"/>
        </w:rPr>
        <w:t>–</w:t>
      </w:r>
      <w:r w:rsidRPr="00E87CD9">
        <w:rPr>
          <w:color w:val="auto"/>
          <w:sz w:val="28"/>
          <w:szCs w:val="28"/>
        </w:rPr>
        <w:t xml:space="preserve"> ібупрофен</w:t>
      </w:r>
    </w:p>
    <w:p w:rsidR="00417DC7" w:rsidRPr="00E87CD9" w:rsidRDefault="00417DC7" w:rsidP="00417DC7">
      <w:pPr>
        <w:pStyle w:val="WW-"/>
        <w:spacing w:after="0" w:line="240" w:lineRule="auto"/>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Мел </w:t>
      </w:r>
      <w:r w:rsidRPr="00E87CD9">
        <w:rPr>
          <w:rFonts w:ascii="Times New Roman" w:hAnsi="Times New Roman" w:cs="Times New Roman"/>
          <w:color w:val="auto"/>
          <w:sz w:val="28"/>
          <w:szCs w:val="28"/>
          <w:lang w:val="uk-UA" w:eastAsia="ru-RU"/>
        </w:rPr>
        <w:t>–</w:t>
      </w:r>
      <w:r w:rsidRPr="00E87CD9">
        <w:rPr>
          <w:rFonts w:ascii="Times New Roman" w:hAnsi="Times New Roman" w:cs="Times New Roman"/>
          <w:color w:val="auto"/>
          <w:sz w:val="28"/>
          <w:szCs w:val="28"/>
          <w:lang w:val="uk-UA"/>
        </w:rPr>
        <w:t xml:space="preserve"> мелоксикам</w:t>
      </w:r>
    </w:p>
    <w:p w:rsidR="00417DC7" w:rsidRPr="00E87CD9" w:rsidRDefault="00417DC7" w:rsidP="00417DC7">
      <w:pPr>
        <w:pStyle w:val="WW-"/>
        <w:spacing w:after="0" w:line="240" w:lineRule="auto"/>
        <w:rPr>
          <w:rFonts w:ascii="Times New Roman" w:hAnsi="Times New Roman" w:cs="Times New Roman"/>
          <w:color w:val="auto"/>
          <w:sz w:val="28"/>
          <w:szCs w:val="28"/>
          <w:lang w:val="uk-UA"/>
        </w:rPr>
      </w:pPr>
      <w:r w:rsidRPr="00E87CD9">
        <w:rPr>
          <w:rFonts w:ascii="Times New Roman" w:hAnsi="Times New Roman" w:cs="Times New Roman"/>
          <w:color w:val="auto"/>
          <w:sz w:val="28"/>
          <w:szCs w:val="28"/>
          <w:lang w:val="uk-UA"/>
        </w:rPr>
        <w:t xml:space="preserve">П </w:t>
      </w:r>
      <w:r w:rsidRPr="00E87CD9">
        <w:rPr>
          <w:rFonts w:ascii="Times New Roman" w:hAnsi="Times New Roman" w:cs="Times New Roman"/>
          <w:color w:val="auto"/>
          <w:sz w:val="28"/>
          <w:szCs w:val="28"/>
          <w:lang w:val="uk-UA" w:eastAsia="ru-RU"/>
        </w:rPr>
        <w:t>–</w:t>
      </w:r>
      <w:r w:rsidRPr="00E87CD9">
        <w:rPr>
          <w:rFonts w:ascii="Times New Roman" w:hAnsi="Times New Roman" w:cs="Times New Roman"/>
          <w:color w:val="auto"/>
          <w:sz w:val="28"/>
          <w:szCs w:val="28"/>
          <w:lang w:val="uk-UA"/>
        </w:rPr>
        <w:t xml:space="preserve"> парацетамол</w:t>
      </w:r>
    </w:p>
    <w:p w:rsidR="00417DC7" w:rsidRPr="00E87CD9" w:rsidRDefault="00417DC7" w:rsidP="00417DC7">
      <w:pPr>
        <w:jc w:val="both"/>
        <w:rPr>
          <w:color w:val="auto"/>
          <w:sz w:val="28"/>
          <w:szCs w:val="28"/>
        </w:rPr>
      </w:pPr>
      <w:r w:rsidRPr="00E87CD9">
        <w:rPr>
          <w:color w:val="auto"/>
          <w:sz w:val="28"/>
          <w:szCs w:val="28"/>
        </w:rPr>
        <w:t xml:space="preserve">Н </w:t>
      </w:r>
      <w:r w:rsidRPr="00E87CD9">
        <w:rPr>
          <w:color w:val="auto"/>
          <w:sz w:val="28"/>
          <w:szCs w:val="28"/>
          <w:lang w:eastAsia="ru-RU"/>
        </w:rPr>
        <w:t>–</w:t>
      </w:r>
      <w:r w:rsidRPr="00E87CD9">
        <w:rPr>
          <w:color w:val="auto"/>
          <w:sz w:val="28"/>
          <w:szCs w:val="28"/>
        </w:rPr>
        <w:t xml:space="preserve"> німесулід</w:t>
      </w:r>
    </w:p>
    <w:p w:rsidR="007A4B26" w:rsidRPr="00E87CD9" w:rsidRDefault="00417DC7" w:rsidP="000E2B2E">
      <w:pPr>
        <w:jc w:val="both"/>
        <w:rPr>
          <w:color w:val="auto"/>
          <w:sz w:val="28"/>
          <w:szCs w:val="28"/>
        </w:rPr>
      </w:pPr>
      <w:r w:rsidRPr="00E87CD9">
        <w:rPr>
          <w:color w:val="auto"/>
          <w:sz w:val="28"/>
          <w:szCs w:val="28"/>
        </w:rPr>
        <w:t xml:space="preserve">Ц </w:t>
      </w:r>
      <w:r w:rsidRPr="00E87CD9">
        <w:rPr>
          <w:color w:val="auto"/>
          <w:sz w:val="28"/>
          <w:szCs w:val="28"/>
          <w:lang w:eastAsia="ru-RU"/>
        </w:rPr>
        <w:t>–</w:t>
      </w:r>
      <w:r w:rsidRPr="00E87CD9">
        <w:rPr>
          <w:color w:val="auto"/>
          <w:sz w:val="28"/>
          <w:szCs w:val="28"/>
        </w:rPr>
        <w:t xml:space="preserve"> целекоксиб</w:t>
      </w:r>
    </w:p>
    <w:sectPr w:rsidR="007A4B26" w:rsidRPr="00E87CD9" w:rsidSect="007741FC">
      <w:type w:val="continuous"/>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D4E" w:rsidRDefault="00F52D4E" w:rsidP="00156AE8">
      <w:r>
        <w:separator/>
      </w:r>
    </w:p>
  </w:endnote>
  <w:endnote w:type="continuationSeparator" w:id="1">
    <w:p w:rsidR="00F52D4E" w:rsidRDefault="00F52D4E" w:rsidP="0015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ragmaticaC">
    <w:altName w:val="Ink Free"/>
    <w:charset w:val="CC"/>
    <w:family w:val="script"/>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ragmaticaC;BoldItalic">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BlinkMacSystemFont">
    <w:altName w:val="Times New Roman"/>
    <w:charset w:val="CC"/>
    <w:family w:val="auto"/>
    <w:pitch w:val="default"/>
    <w:sig w:usb0="00000000" w:usb1="00000000" w:usb2="00000000" w:usb3="00000000" w:csb0="00000000" w:csb1="00000000"/>
  </w:font>
  <w:font w:name="PetersburgC-Italic">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Bold">
    <w:panose1 w:val="00000000000000000000"/>
    <w:charset w:val="00"/>
    <w:family w:val="roman"/>
    <w:notTrueType/>
    <w:pitch w:val="default"/>
    <w:sig w:usb0="00000000" w:usb1="00000000" w:usb2="00000000" w:usb3="00000000" w:csb0="00000000" w:csb1="00000000"/>
  </w:font>
  <w:font w:name="TimesNewRomanPSMT">
    <w:altName w:val="MS Gothic"/>
    <w:panose1 w:val="00000000000000000000"/>
    <w:charset w:val="00"/>
    <w:family w:val="roman"/>
    <w:notTrueType/>
    <w:pitch w:val="default"/>
    <w:sig w:usb0="00000000" w:usb1="08070000" w:usb2="00000010" w:usb3="00000000" w:csb0="00020005" w:csb1="00000000"/>
  </w:font>
  <w:font w:name="TimesNewRoman">
    <w:altName w:val="Bold"/>
    <w:charset w:val="CC"/>
    <w:family w:val="auto"/>
    <w:pitch w:val="default"/>
    <w:sig w:usb0="00000001" w:usb1="08070000" w:usb2="00000010" w:usb3="00000000" w:csb0="00020000" w:csb1="00000000"/>
  </w:font>
  <w:font w:name="GulliverRM">
    <w:panose1 w:val="00000000000000000000"/>
    <w:charset w:val="00"/>
    <w:family w:val="roman"/>
    <w:notTrueType/>
    <w:pitch w:val="default"/>
    <w:sig w:usb0="00000000" w:usb1="00000000" w:usb2="00000000" w:usb3="00000000" w:csb0="00000000" w:csb1="00000000"/>
  </w:font>
  <w:font w:name="HeliosLight">
    <w:charset w:val="CC"/>
    <w:family w:val="auto"/>
    <w:pitch w:val="default"/>
    <w:sig w:usb0="00000000" w:usb1="00000000" w:usb2="00000000" w:usb3="00000000" w:csb0="00000000" w:csb1="00000000"/>
  </w:font>
  <w:font w:name="Arial-BoldItalicMT">
    <w:charset w:val="CC"/>
    <w:family w:val="swiss"/>
    <w:pitch w:val="default"/>
    <w:sig w:usb0="00000000" w:usb1="00000000" w:usb2="00000000" w:usb3="00000000" w:csb0="00000000" w:csb1="00000000"/>
  </w:font>
  <w:font w:name="FreeSetC-Bold">
    <w:charset w:val="CC"/>
    <w:family w:val="auto"/>
    <w:pitch w:val="default"/>
    <w:sig w:usb0="00000000" w:usb1="00000000" w:usb2="00000000" w:usb3="00000000" w:csb0="00000000"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ragmaticaBook-Reg">
    <w:altName w:val="Arial Unicode MS"/>
    <w:charset w:val="CC"/>
    <w:family w:val="swiss"/>
    <w:pitch w:val="default"/>
    <w:sig w:usb0="00000000" w:usb1="00000000" w:usb2="00000000" w:usb3="00000000" w:csb0="00000000" w:csb1="00000000"/>
  </w:font>
  <w:font w:name="TimesNewRomanPS-BoldMT">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D4E" w:rsidRDefault="00F52D4E" w:rsidP="00156AE8">
      <w:r>
        <w:separator/>
      </w:r>
    </w:p>
  </w:footnote>
  <w:footnote w:type="continuationSeparator" w:id="1">
    <w:p w:rsidR="00F52D4E" w:rsidRDefault="00F52D4E" w:rsidP="0015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93538"/>
      <w:docPartObj>
        <w:docPartGallery w:val="Page Numbers (Top of Page)"/>
        <w:docPartUnique/>
      </w:docPartObj>
    </w:sdtPr>
    <w:sdtContent>
      <w:p w:rsidR="00A01C0C" w:rsidRDefault="00701613">
        <w:pPr>
          <w:pStyle w:val="a7"/>
          <w:jc w:val="center"/>
        </w:pPr>
        <w:r w:rsidRPr="00156AE8">
          <w:rPr>
            <w:sz w:val="28"/>
            <w:szCs w:val="28"/>
          </w:rPr>
          <w:fldChar w:fldCharType="begin"/>
        </w:r>
        <w:r w:rsidR="00A01C0C" w:rsidRPr="00156AE8">
          <w:rPr>
            <w:sz w:val="28"/>
            <w:szCs w:val="28"/>
          </w:rPr>
          <w:instrText>PAGE   \* MERGEFORMAT</w:instrText>
        </w:r>
        <w:r w:rsidRPr="00156AE8">
          <w:rPr>
            <w:sz w:val="28"/>
            <w:szCs w:val="28"/>
          </w:rPr>
          <w:fldChar w:fldCharType="separate"/>
        </w:r>
        <w:r w:rsidR="00DB00B8" w:rsidRPr="00DB00B8">
          <w:rPr>
            <w:noProof/>
            <w:sz w:val="28"/>
            <w:szCs w:val="28"/>
            <w:lang w:val="ru-RU"/>
          </w:rPr>
          <w:t>1</w:t>
        </w:r>
        <w:r w:rsidRPr="00156AE8">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759"/>
        </w:tabs>
        <w:ind w:left="759" w:hanging="360"/>
      </w:pPr>
      <w:rPr>
        <w:rFonts w:ascii="Times New Roman" w:eastAsia="PragmaticaC" w:hAnsi="Times New Roman" w:cs="Times New Roman"/>
        <w:b w:val="0"/>
        <w:bCs/>
        <w:i w:val="0"/>
        <w:iCs w:val="0"/>
        <w:kern w:val="2"/>
        <w:sz w:val="28"/>
        <w:szCs w:val="28"/>
        <w:lang w:val="uk-UA" w:eastAsia="uk-UA" w:bidi="hi-IN"/>
      </w:rPr>
    </w:lvl>
  </w:abstractNum>
  <w:abstractNum w:abstractNumId="1">
    <w:nsid w:val="00000003"/>
    <w:multiLevelType w:val="singleLevel"/>
    <w:tmpl w:val="00000003"/>
    <w:name w:val="WW8Num3"/>
    <w:lvl w:ilvl="0">
      <w:start w:val="1"/>
      <w:numFmt w:val="decimal"/>
      <w:lvlText w:val="%1."/>
      <w:lvlJc w:val="left"/>
      <w:pPr>
        <w:tabs>
          <w:tab w:val="num" w:pos="720"/>
        </w:tabs>
        <w:ind w:left="644" w:hanging="360"/>
      </w:pPr>
      <w:rPr>
        <w:rFonts w:ascii="Times New Roman" w:eastAsia="Calibri" w:hAnsi="Times New Roman" w:cs="Times New Roman" w:hint="default"/>
        <w:iCs/>
        <w:sz w:val="28"/>
        <w:szCs w:val="28"/>
        <w:lang w:eastAsia="en-US" w:bidi="ar-SA"/>
      </w:rPr>
    </w:lvl>
  </w:abstractNum>
  <w:abstractNum w:abstractNumId="2">
    <w:nsid w:val="4C5A63E2"/>
    <w:multiLevelType w:val="multilevel"/>
    <w:tmpl w:val="36E2F3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F9669AD"/>
    <w:multiLevelType w:val="multilevel"/>
    <w:tmpl w:val="A72A8122"/>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3465EF9"/>
    <w:multiLevelType w:val="hybridMultilevel"/>
    <w:tmpl w:val="F0826BCA"/>
    <w:lvl w:ilvl="0" w:tplc="A6DE40A2">
      <w:start w:val="1"/>
      <w:numFmt w:val="decimal"/>
      <w:lvlText w:val="%1."/>
      <w:lvlJc w:val="left"/>
      <w:pPr>
        <w:ind w:left="2860" w:hanging="450"/>
      </w:pPr>
      <w:rPr>
        <w:rFonts w:eastAsia="Times New Roman"/>
        <w:color w:val="auto"/>
      </w:rPr>
    </w:lvl>
    <w:lvl w:ilvl="1" w:tplc="04190019">
      <w:start w:val="1"/>
      <w:numFmt w:val="lowerLetter"/>
      <w:lvlText w:val="%2."/>
      <w:lvlJc w:val="left"/>
      <w:pPr>
        <w:ind w:left="3490" w:hanging="360"/>
      </w:pPr>
    </w:lvl>
    <w:lvl w:ilvl="2" w:tplc="0419001B">
      <w:start w:val="1"/>
      <w:numFmt w:val="lowerRoman"/>
      <w:lvlText w:val="%3."/>
      <w:lvlJc w:val="right"/>
      <w:pPr>
        <w:ind w:left="4210" w:hanging="180"/>
      </w:pPr>
    </w:lvl>
    <w:lvl w:ilvl="3" w:tplc="0419000F">
      <w:start w:val="1"/>
      <w:numFmt w:val="decimal"/>
      <w:lvlText w:val="%4."/>
      <w:lvlJc w:val="left"/>
      <w:pPr>
        <w:ind w:left="4930" w:hanging="360"/>
      </w:pPr>
    </w:lvl>
    <w:lvl w:ilvl="4" w:tplc="04190019">
      <w:start w:val="1"/>
      <w:numFmt w:val="lowerLetter"/>
      <w:lvlText w:val="%5."/>
      <w:lvlJc w:val="left"/>
      <w:pPr>
        <w:ind w:left="5650" w:hanging="360"/>
      </w:pPr>
    </w:lvl>
    <w:lvl w:ilvl="5" w:tplc="0419001B">
      <w:start w:val="1"/>
      <w:numFmt w:val="lowerRoman"/>
      <w:lvlText w:val="%6."/>
      <w:lvlJc w:val="right"/>
      <w:pPr>
        <w:ind w:left="6370" w:hanging="180"/>
      </w:pPr>
    </w:lvl>
    <w:lvl w:ilvl="6" w:tplc="0419000F">
      <w:start w:val="1"/>
      <w:numFmt w:val="decimal"/>
      <w:lvlText w:val="%7."/>
      <w:lvlJc w:val="left"/>
      <w:pPr>
        <w:ind w:left="7090" w:hanging="360"/>
      </w:pPr>
    </w:lvl>
    <w:lvl w:ilvl="7" w:tplc="04190019">
      <w:start w:val="1"/>
      <w:numFmt w:val="lowerLetter"/>
      <w:lvlText w:val="%8."/>
      <w:lvlJc w:val="left"/>
      <w:pPr>
        <w:ind w:left="7810" w:hanging="360"/>
      </w:pPr>
    </w:lvl>
    <w:lvl w:ilvl="8" w:tplc="0419001B">
      <w:start w:val="1"/>
      <w:numFmt w:val="lowerRoman"/>
      <w:lvlText w:val="%9."/>
      <w:lvlJc w:val="right"/>
      <w:pPr>
        <w:ind w:left="8530" w:hanging="180"/>
      </w:pPr>
    </w:lvl>
  </w:abstractNum>
  <w:abstractNum w:abstractNumId="5">
    <w:nsid w:val="79864C65"/>
    <w:multiLevelType w:val="hybridMultilevel"/>
    <w:tmpl w:val="5E0A0314"/>
    <w:lvl w:ilvl="0" w:tplc="50367D78">
      <w:start w:val="1"/>
      <w:numFmt w:val="decimal"/>
      <w:lvlText w:val="%1."/>
      <w:lvlJc w:val="left"/>
      <w:pPr>
        <w:ind w:left="1778"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417DC7"/>
    <w:rsid w:val="000013FA"/>
    <w:rsid w:val="0000300D"/>
    <w:rsid w:val="00003983"/>
    <w:rsid w:val="00010FEC"/>
    <w:rsid w:val="00013226"/>
    <w:rsid w:val="00015BFC"/>
    <w:rsid w:val="00025FB2"/>
    <w:rsid w:val="000448DE"/>
    <w:rsid w:val="00047B39"/>
    <w:rsid w:val="0005710A"/>
    <w:rsid w:val="00057C23"/>
    <w:rsid w:val="000837CC"/>
    <w:rsid w:val="00093B67"/>
    <w:rsid w:val="00097ABA"/>
    <w:rsid w:val="000B3CCD"/>
    <w:rsid w:val="000B5CC0"/>
    <w:rsid w:val="000C1535"/>
    <w:rsid w:val="000C4113"/>
    <w:rsid w:val="000D0B4B"/>
    <w:rsid w:val="000D352C"/>
    <w:rsid w:val="000D42FA"/>
    <w:rsid w:val="000E2B2E"/>
    <w:rsid w:val="000E36B4"/>
    <w:rsid w:val="000F00D9"/>
    <w:rsid w:val="001063CD"/>
    <w:rsid w:val="00106F64"/>
    <w:rsid w:val="00110490"/>
    <w:rsid w:val="00111102"/>
    <w:rsid w:val="0011355D"/>
    <w:rsid w:val="001142E0"/>
    <w:rsid w:val="00122872"/>
    <w:rsid w:val="00122D90"/>
    <w:rsid w:val="00130C90"/>
    <w:rsid w:val="00151AAD"/>
    <w:rsid w:val="00156AE8"/>
    <w:rsid w:val="00162F86"/>
    <w:rsid w:val="00171586"/>
    <w:rsid w:val="00190048"/>
    <w:rsid w:val="00195684"/>
    <w:rsid w:val="001B6EBF"/>
    <w:rsid w:val="001B7D0E"/>
    <w:rsid w:val="001C0A9D"/>
    <w:rsid w:val="001E0D27"/>
    <w:rsid w:val="001F197B"/>
    <w:rsid w:val="001F24EE"/>
    <w:rsid w:val="001F43DC"/>
    <w:rsid w:val="001F67F2"/>
    <w:rsid w:val="0020158B"/>
    <w:rsid w:val="00202E21"/>
    <w:rsid w:val="00205BCC"/>
    <w:rsid w:val="00206516"/>
    <w:rsid w:val="002103DA"/>
    <w:rsid w:val="00214B63"/>
    <w:rsid w:val="00215932"/>
    <w:rsid w:val="002259BA"/>
    <w:rsid w:val="002276E9"/>
    <w:rsid w:val="00234FD7"/>
    <w:rsid w:val="00236105"/>
    <w:rsid w:val="00240248"/>
    <w:rsid w:val="002421B4"/>
    <w:rsid w:val="00242D9D"/>
    <w:rsid w:val="00255D95"/>
    <w:rsid w:val="002679F5"/>
    <w:rsid w:val="00270CA2"/>
    <w:rsid w:val="00275C44"/>
    <w:rsid w:val="00275EE4"/>
    <w:rsid w:val="0028132E"/>
    <w:rsid w:val="00284B67"/>
    <w:rsid w:val="00293AFC"/>
    <w:rsid w:val="0029427C"/>
    <w:rsid w:val="00297DC6"/>
    <w:rsid w:val="00297E8A"/>
    <w:rsid w:val="002A03B9"/>
    <w:rsid w:val="002B236C"/>
    <w:rsid w:val="002C1174"/>
    <w:rsid w:val="002C20D3"/>
    <w:rsid w:val="002C2C45"/>
    <w:rsid w:val="002C64FC"/>
    <w:rsid w:val="002C6711"/>
    <w:rsid w:val="002D23FD"/>
    <w:rsid w:val="002D53C5"/>
    <w:rsid w:val="002D7AFA"/>
    <w:rsid w:val="00310BD3"/>
    <w:rsid w:val="00311287"/>
    <w:rsid w:val="0031398E"/>
    <w:rsid w:val="00313B02"/>
    <w:rsid w:val="00324197"/>
    <w:rsid w:val="003279DA"/>
    <w:rsid w:val="00332B9A"/>
    <w:rsid w:val="003359FC"/>
    <w:rsid w:val="00336ABC"/>
    <w:rsid w:val="003410F4"/>
    <w:rsid w:val="00342B06"/>
    <w:rsid w:val="00343035"/>
    <w:rsid w:val="0034389B"/>
    <w:rsid w:val="00356411"/>
    <w:rsid w:val="003616CA"/>
    <w:rsid w:val="00364504"/>
    <w:rsid w:val="003709F0"/>
    <w:rsid w:val="0037634D"/>
    <w:rsid w:val="00382B23"/>
    <w:rsid w:val="003855EA"/>
    <w:rsid w:val="0039726A"/>
    <w:rsid w:val="003A61CA"/>
    <w:rsid w:val="003A6667"/>
    <w:rsid w:val="003B5993"/>
    <w:rsid w:val="003C2749"/>
    <w:rsid w:val="003C68CD"/>
    <w:rsid w:val="003D2EE8"/>
    <w:rsid w:val="003D4DB8"/>
    <w:rsid w:val="003E2AD3"/>
    <w:rsid w:val="003E37FB"/>
    <w:rsid w:val="003E5F1B"/>
    <w:rsid w:val="004130D7"/>
    <w:rsid w:val="00417DC7"/>
    <w:rsid w:val="00417F5E"/>
    <w:rsid w:val="00420C9A"/>
    <w:rsid w:val="00424423"/>
    <w:rsid w:val="004245AA"/>
    <w:rsid w:val="00430ECA"/>
    <w:rsid w:val="00431C70"/>
    <w:rsid w:val="004324F5"/>
    <w:rsid w:val="004372F8"/>
    <w:rsid w:val="0044178B"/>
    <w:rsid w:val="00444942"/>
    <w:rsid w:val="00464A8C"/>
    <w:rsid w:val="00481772"/>
    <w:rsid w:val="0048442B"/>
    <w:rsid w:val="004856FA"/>
    <w:rsid w:val="004A5AB5"/>
    <w:rsid w:val="004A6239"/>
    <w:rsid w:val="004B3DAF"/>
    <w:rsid w:val="004C1128"/>
    <w:rsid w:val="004E2A4C"/>
    <w:rsid w:val="004F6756"/>
    <w:rsid w:val="00502FED"/>
    <w:rsid w:val="005048CC"/>
    <w:rsid w:val="005057DE"/>
    <w:rsid w:val="00520E45"/>
    <w:rsid w:val="00524E4F"/>
    <w:rsid w:val="00535936"/>
    <w:rsid w:val="0054139D"/>
    <w:rsid w:val="00547524"/>
    <w:rsid w:val="0055035A"/>
    <w:rsid w:val="005553D6"/>
    <w:rsid w:val="00570C5C"/>
    <w:rsid w:val="005742A8"/>
    <w:rsid w:val="005769B1"/>
    <w:rsid w:val="0058167F"/>
    <w:rsid w:val="00584517"/>
    <w:rsid w:val="00587894"/>
    <w:rsid w:val="00591C6F"/>
    <w:rsid w:val="00593881"/>
    <w:rsid w:val="00595E2D"/>
    <w:rsid w:val="00597CBD"/>
    <w:rsid w:val="005A2189"/>
    <w:rsid w:val="005C3D68"/>
    <w:rsid w:val="005C5D71"/>
    <w:rsid w:val="005D06C6"/>
    <w:rsid w:val="005D11DE"/>
    <w:rsid w:val="005D2264"/>
    <w:rsid w:val="005D3C54"/>
    <w:rsid w:val="005D6E7D"/>
    <w:rsid w:val="005E210C"/>
    <w:rsid w:val="005E4209"/>
    <w:rsid w:val="005E7D93"/>
    <w:rsid w:val="005F3E6A"/>
    <w:rsid w:val="005F7CEF"/>
    <w:rsid w:val="006125BF"/>
    <w:rsid w:val="00622AB5"/>
    <w:rsid w:val="00623C85"/>
    <w:rsid w:val="006270F5"/>
    <w:rsid w:val="00627AB5"/>
    <w:rsid w:val="006330A7"/>
    <w:rsid w:val="006357B8"/>
    <w:rsid w:val="00641511"/>
    <w:rsid w:val="00652AC2"/>
    <w:rsid w:val="006569E2"/>
    <w:rsid w:val="00662E63"/>
    <w:rsid w:val="0066751D"/>
    <w:rsid w:val="006679DF"/>
    <w:rsid w:val="0067334E"/>
    <w:rsid w:val="00680741"/>
    <w:rsid w:val="00696429"/>
    <w:rsid w:val="006A3D74"/>
    <w:rsid w:val="006A4470"/>
    <w:rsid w:val="006A4B22"/>
    <w:rsid w:val="006A7ADE"/>
    <w:rsid w:val="006B5C97"/>
    <w:rsid w:val="006B7300"/>
    <w:rsid w:val="006D0783"/>
    <w:rsid w:val="006D1031"/>
    <w:rsid w:val="006D1197"/>
    <w:rsid w:val="006D66D9"/>
    <w:rsid w:val="006D7E89"/>
    <w:rsid w:val="006E4011"/>
    <w:rsid w:val="006F0605"/>
    <w:rsid w:val="00701613"/>
    <w:rsid w:val="00702A70"/>
    <w:rsid w:val="00724312"/>
    <w:rsid w:val="00730B17"/>
    <w:rsid w:val="007358B2"/>
    <w:rsid w:val="00745531"/>
    <w:rsid w:val="007511CA"/>
    <w:rsid w:val="0075688D"/>
    <w:rsid w:val="00766992"/>
    <w:rsid w:val="00766BC1"/>
    <w:rsid w:val="00766F60"/>
    <w:rsid w:val="007741FC"/>
    <w:rsid w:val="0078208F"/>
    <w:rsid w:val="007870D7"/>
    <w:rsid w:val="00792AAF"/>
    <w:rsid w:val="007A3B30"/>
    <w:rsid w:val="007A4A9A"/>
    <w:rsid w:val="007A4B26"/>
    <w:rsid w:val="007C3281"/>
    <w:rsid w:val="007C5068"/>
    <w:rsid w:val="007C5B4B"/>
    <w:rsid w:val="007D0C23"/>
    <w:rsid w:val="007E47FB"/>
    <w:rsid w:val="007F5B64"/>
    <w:rsid w:val="00800B0A"/>
    <w:rsid w:val="00814CE7"/>
    <w:rsid w:val="0082224F"/>
    <w:rsid w:val="0083235D"/>
    <w:rsid w:val="008330A4"/>
    <w:rsid w:val="008342D9"/>
    <w:rsid w:val="00840A94"/>
    <w:rsid w:val="0084163C"/>
    <w:rsid w:val="008469C4"/>
    <w:rsid w:val="008612E8"/>
    <w:rsid w:val="00866742"/>
    <w:rsid w:val="008732AB"/>
    <w:rsid w:val="008868E1"/>
    <w:rsid w:val="00894C55"/>
    <w:rsid w:val="008A0373"/>
    <w:rsid w:val="008A607C"/>
    <w:rsid w:val="008B40DB"/>
    <w:rsid w:val="008B5201"/>
    <w:rsid w:val="008B7F0B"/>
    <w:rsid w:val="008D5EEA"/>
    <w:rsid w:val="008F27BD"/>
    <w:rsid w:val="008F2BA8"/>
    <w:rsid w:val="008F5EFC"/>
    <w:rsid w:val="00900716"/>
    <w:rsid w:val="00900D02"/>
    <w:rsid w:val="00904776"/>
    <w:rsid w:val="00907FD6"/>
    <w:rsid w:val="00916FB7"/>
    <w:rsid w:val="00926282"/>
    <w:rsid w:val="0093068F"/>
    <w:rsid w:val="009335B4"/>
    <w:rsid w:val="00935122"/>
    <w:rsid w:val="00946537"/>
    <w:rsid w:val="00957634"/>
    <w:rsid w:val="009631D9"/>
    <w:rsid w:val="0096394B"/>
    <w:rsid w:val="00972764"/>
    <w:rsid w:val="00984367"/>
    <w:rsid w:val="00984512"/>
    <w:rsid w:val="009A1B62"/>
    <w:rsid w:val="009B197F"/>
    <w:rsid w:val="009B3350"/>
    <w:rsid w:val="009B4E22"/>
    <w:rsid w:val="009C1ECA"/>
    <w:rsid w:val="009C69A1"/>
    <w:rsid w:val="009D3729"/>
    <w:rsid w:val="009D41FF"/>
    <w:rsid w:val="009D57FF"/>
    <w:rsid w:val="009E3D8E"/>
    <w:rsid w:val="009F177E"/>
    <w:rsid w:val="009F266B"/>
    <w:rsid w:val="00A01C0C"/>
    <w:rsid w:val="00A0670F"/>
    <w:rsid w:val="00A10661"/>
    <w:rsid w:val="00A11DA1"/>
    <w:rsid w:val="00A1774E"/>
    <w:rsid w:val="00A232D1"/>
    <w:rsid w:val="00A270C1"/>
    <w:rsid w:val="00A319EC"/>
    <w:rsid w:val="00A3476E"/>
    <w:rsid w:val="00A36447"/>
    <w:rsid w:val="00A40C19"/>
    <w:rsid w:val="00A62A62"/>
    <w:rsid w:val="00A66262"/>
    <w:rsid w:val="00A762BF"/>
    <w:rsid w:val="00A81BC5"/>
    <w:rsid w:val="00A86696"/>
    <w:rsid w:val="00A8750D"/>
    <w:rsid w:val="00A926EF"/>
    <w:rsid w:val="00A9481C"/>
    <w:rsid w:val="00AB0312"/>
    <w:rsid w:val="00AB2692"/>
    <w:rsid w:val="00AC12D3"/>
    <w:rsid w:val="00AC2A99"/>
    <w:rsid w:val="00AD1372"/>
    <w:rsid w:val="00AD4B46"/>
    <w:rsid w:val="00AD7495"/>
    <w:rsid w:val="00AE1424"/>
    <w:rsid w:val="00AE15FC"/>
    <w:rsid w:val="00AE63D1"/>
    <w:rsid w:val="00AF1827"/>
    <w:rsid w:val="00AF23E1"/>
    <w:rsid w:val="00AF2841"/>
    <w:rsid w:val="00AF37FA"/>
    <w:rsid w:val="00AF3A1F"/>
    <w:rsid w:val="00B04E59"/>
    <w:rsid w:val="00B04FB0"/>
    <w:rsid w:val="00B1424E"/>
    <w:rsid w:val="00B15A9F"/>
    <w:rsid w:val="00B1658B"/>
    <w:rsid w:val="00B16B9B"/>
    <w:rsid w:val="00B21926"/>
    <w:rsid w:val="00B23118"/>
    <w:rsid w:val="00B23BF9"/>
    <w:rsid w:val="00B25FEE"/>
    <w:rsid w:val="00B40101"/>
    <w:rsid w:val="00B44F8E"/>
    <w:rsid w:val="00B52CB9"/>
    <w:rsid w:val="00B5388E"/>
    <w:rsid w:val="00B57BB9"/>
    <w:rsid w:val="00B60337"/>
    <w:rsid w:val="00B638C9"/>
    <w:rsid w:val="00B64DD8"/>
    <w:rsid w:val="00B70B90"/>
    <w:rsid w:val="00B81CDA"/>
    <w:rsid w:val="00B83906"/>
    <w:rsid w:val="00B84E81"/>
    <w:rsid w:val="00B90B59"/>
    <w:rsid w:val="00B91135"/>
    <w:rsid w:val="00B9684F"/>
    <w:rsid w:val="00BA6FB3"/>
    <w:rsid w:val="00BB2E0F"/>
    <w:rsid w:val="00BB6F3D"/>
    <w:rsid w:val="00BC5CE4"/>
    <w:rsid w:val="00BC66D4"/>
    <w:rsid w:val="00BD0BF4"/>
    <w:rsid w:val="00BD2CC0"/>
    <w:rsid w:val="00BD69B4"/>
    <w:rsid w:val="00BE16F0"/>
    <w:rsid w:val="00BE3D6F"/>
    <w:rsid w:val="00BE4DC2"/>
    <w:rsid w:val="00BF5E27"/>
    <w:rsid w:val="00C05C23"/>
    <w:rsid w:val="00C073FF"/>
    <w:rsid w:val="00C12448"/>
    <w:rsid w:val="00C12B6A"/>
    <w:rsid w:val="00C1512F"/>
    <w:rsid w:val="00C2778F"/>
    <w:rsid w:val="00C27799"/>
    <w:rsid w:val="00C3094A"/>
    <w:rsid w:val="00C34804"/>
    <w:rsid w:val="00C35AB2"/>
    <w:rsid w:val="00C412E4"/>
    <w:rsid w:val="00C46F19"/>
    <w:rsid w:val="00C500DD"/>
    <w:rsid w:val="00C50740"/>
    <w:rsid w:val="00C51F75"/>
    <w:rsid w:val="00C66716"/>
    <w:rsid w:val="00C675B2"/>
    <w:rsid w:val="00C70073"/>
    <w:rsid w:val="00C9217E"/>
    <w:rsid w:val="00CA708D"/>
    <w:rsid w:val="00CB2646"/>
    <w:rsid w:val="00CC0311"/>
    <w:rsid w:val="00CC6F94"/>
    <w:rsid w:val="00CC71D6"/>
    <w:rsid w:val="00CD2D52"/>
    <w:rsid w:val="00CD5B6D"/>
    <w:rsid w:val="00CD74DE"/>
    <w:rsid w:val="00CE122F"/>
    <w:rsid w:val="00CE3BDE"/>
    <w:rsid w:val="00CF058D"/>
    <w:rsid w:val="00CF0AFC"/>
    <w:rsid w:val="00CF2D8B"/>
    <w:rsid w:val="00D1230D"/>
    <w:rsid w:val="00D17152"/>
    <w:rsid w:val="00D21275"/>
    <w:rsid w:val="00D22D37"/>
    <w:rsid w:val="00D24016"/>
    <w:rsid w:val="00D30666"/>
    <w:rsid w:val="00D32A96"/>
    <w:rsid w:val="00D37BB9"/>
    <w:rsid w:val="00D54416"/>
    <w:rsid w:val="00D60E83"/>
    <w:rsid w:val="00D61BE0"/>
    <w:rsid w:val="00D63103"/>
    <w:rsid w:val="00D63861"/>
    <w:rsid w:val="00D83147"/>
    <w:rsid w:val="00D85E4E"/>
    <w:rsid w:val="00D90D8E"/>
    <w:rsid w:val="00D91D2B"/>
    <w:rsid w:val="00D91FF2"/>
    <w:rsid w:val="00D92110"/>
    <w:rsid w:val="00D95CAA"/>
    <w:rsid w:val="00D96D50"/>
    <w:rsid w:val="00DA4DA4"/>
    <w:rsid w:val="00DA5083"/>
    <w:rsid w:val="00DA7803"/>
    <w:rsid w:val="00DB00B8"/>
    <w:rsid w:val="00DD3664"/>
    <w:rsid w:val="00DD3836"/>
    <w:rsid w:val="00DD43D3"/>
    <w:rsid w:val="00DD5897"/>
    <w:rsid w:val="00DD66CB"/>
    <w:rsid w:val="00DD6C9C"/>
    <w:rsid w:val="00DE0307"/>
    <w:rsid w:val="00DE2E88"/>
    <w:rsid w:val="00DF1605"/>
    <w:rsid w:val="00E016DE"/>
    <w:rsid w:val="00E03641"/>
    <w:rsid w:val="00E04975"/>
    <w:rsid w:val="00E0513C"/>
    <w:rsid w:val="00E07DB5"/>
    <w:rsid w:val="00E10ED1"/>
    <w:rsid w:val="00E12644"/>
    <w:rsid w:val="00E15860"/>
    <w:rsid w:val="00E33CB6"/>
    <w:rsid w:val="00E352E0"/>
    <w:rsid w:val="00E3647C"/>
    <w:rsid w:val="00E4102F"/>
    <w:rsid w:val="00E434A5"/>
    <w:rsid w:val="00E53A8F"/>
    <w:rsid w:val="00E54562"/>
    <w:rsid w:val="00E55427"/>
    <w:rsid w:val="00E670D7"/>
    <w:rsid w:val="00E75B3E"/>
    <w:rsid w:val="00E777F3"/>
    <w:rsid w:val="00E8393A"/>
    <w:rsid w:val="00E87CD9"/>
    <w:rsid w:val="00E94AF8"/>
    <w:rsid w:val="00E9586A"/>
    <w:rsid w:val="00E95CAE"/>
    <w:rsid w:val="00E95E0C"/>
    <w:rsid w:val="00EA62C8"/>
    <w:rsid w:val="00EA76D7"/>
    <w:rsid w:val="00EB4282"/>
    <w:rsid w:val="00EB6E5F"/>
    <w:rsid w:val="00EC138F"/>
    <w:rsid w:val="00ED257C"/>
    <w:rsid w:val="00ED7E42"/>
    <w:rsid w:val="00EE5B96"/>
    <w:rsid w:val="00EE5FD2"/>
    <w:rsid w:val="00EF099F"/>
    <w:rsid w:val="00EF28FF"/>
    <w:rsid w:val="00EF523C"/>
    <w:rsid w:val="00EF6645"/>
    <w:rsid w:val="00EF7844"/>
    <w:rsid w:val="00EF7C29"/>
    <w:rsid w:val="00EF7CC6"/>
    <w:rsid w:val="00F218C2"/>
    <w:rsid w:val="00F338DC"/>
    <w:rsid w:val="00F37AFA"/>
    <w:rsid w:val="00F427F3"/>
    <w:rsid w:val="00F52D4E"/>
    <w:rsid w:val="00F631D4"/>
    <w:rsid w:val="00F82E83"/>
    <w:rsid w:val="00F842F6"/>
    <w:rsid w:val="00F94B58"/>
    <w:rsid w:val="00FB251C"/>
    <w:rsid w:val="00FB28CE"/>
    <w:rsid w:val="00FB7A0B"/>
    <w:rsid w:val="00FC3D7E"/>
    <w:rsid w:val="00FC5024"/>
    <w:rsid w:val="00FC5AE8"/>
    <w:rsid w:val="00FE356A"/>
    <w:rsid w:val="00FE4D8C"/>
    <w:rsid w:val="00FE5880"/>
    <w:rsid w:val="00FE7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7152"/>
    <w:pPr>
      <w:spacing w:after="0" w:line="240" w:lineRule="auto"/>
    </w:pPr>
    <w:rPr>
      <w:rFonts w:ascii="Times New Roman" w:eastAsia="Times New Roman" w:hAnsi="Times New Roman" w:cs="Times New Roman"/>
      <w:color w:val="00000A"/>
    </w:rPr>
  </w:style>
  <w:style w:type="paragraph" w:styleId="1">
    <w:name w:val="heading 1"/>
    <w:basedOn w:val="a"/>
    <w:link w:val="10"/>
    <w:uiPriority w:val="1"/>
    <w:qFormat/>
    <w:rsid w:val="00417DC7"/>
    <w:pPr>
      <w:ind w:left="797"/>
      <w:jc w:val="center"/>
      <w:outlineLvl w:val="0"/>
    </w:pPr>
    <w:rPr>
      <w:b/>
      <w:bCs/>
      <w:sz w:val="28"/>
      <w:szCs w:val="28"/>
    </w:rPr>
  </w:style>
  <w:style w:type="paragraph" w:styleId="2">
    <w:name w:val="heading 2"/>
    <w:basedOn w:val="a"/>
    <w:next w:val="a"/>
    <w:link w:val="20"/>
    <w:semiHidden/>
    <w:unhideWhenUsed/>
    <w:qFormat/>
    <w:rsid w:val="00417DC7"/>
    <w:pPr>
      <w:keepNext/>
      <w:numPr>
        <w:ilvl w:val="1"/>
        <w:numId w:val="1"/>
      </w:numPr>
      <w:ind w:left="360" w:right="465"/>
      <w:jc w:val="center"/>
      <w:outlineLvl w:val="1"/>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17DC7"/>
    <w:rPr>
      <w:rFonts w:ascii="Times New Roman" w:eastAsia="Times New Roman" w:hAnsi="Times New Roman" w:cs="Times New Roman"/>
      <w:b/>
      <w:bCs/>
      <w:color w:val="00000A"/>
      <w:sz w:val="28"/>
      <w:szCs w:val="28"/>
    </w:rPr>
  </w:style>
  <w:style w:type="character" w:customStyle="1" w:styleId="20">
    <w:name w:val="Заголовок 2 Знак"/>
    <w:basedOn w:val="a0"/>
    <w:link w:val="2"/>
    <w:semiHidden/>
    <w:rsid w:val="00417DC7"/>
    <w:rPr>
      <w:rFonts w:ascii="Times New Roman" w:eastAsia="Arial Unicode MS" w:hAnsi="Times New Roman" w:cs="Times New Roman"/>
      <w:color w:val="00000A"/>
      <w:sz w:val="28"/>
    </w:rPr>
  </w:style>
  <w:style w:type="character" w:styleId="a3">
    <w:name w:val="Hyperlink"/>
    <w:semiHidden/>
    <w:unhideWhenUsed/>
    <w:rsid w:val="00417DC7"/>
    <w:rPr>
      <w:color w:val="000000"/>
      <w:u w:val="single"/>
    </w:rPr>
  </w:style>
  <w:style w:type="paragraph" w:styleId="11">
    <w:name w:val="index 1"/>
    <w:basedOn w:val="a"/>
    <w:next w:val="a"/>
    <w:autoRedefine/>
    <w:uiPriority w:val="99"/>
    <w:semiHidden/>
    <w:unhideWhenUsed/>
    <w:rsid w:val="00417DC7"/>
    <w:pPr>
      <w:ind w:left="220" w:hanging="220"/>
    </w:pPr>
  </w:style>
  <w:style w:type="paragraph" w:styleId="a4">
    <w:name w:val="annotation text"/>
    <w:basedOn w:val="a"/>
    <w:link w:val="a5"/>
    <w:uiPriority w:val="99"/>
    <w:semiHidden/>
    <w:unhideWhenUsed/>
    <w:rsid w:val="00417DC7"/>
    <w:rPr>
      <w:sz w:val="20"/>
      <w:szCs w:val="20"/>
    </w:rPr>
  </w:style>
  <w:style w:type="character" w:customStyle="1" w:styleId="a5">
    <w:name w:val="Текст примечания Знак"/>
    <w:basedOn w:val="a0"/>
    <w:link w:val="a4"/>
    <w:uiPriority w:val="99"/>
    <w:semiHidden/>
    <w:rsid w:val="00417DC7"/>
    <w:rPr>
      <w:rFonts w:ascii="Times New Roman" w:eastAsia="Times New Roman" w:hAnsi="Times New Roman" w:cs="Times New Roman"/>
      <w:color w:val="00000A"/>
      <w:sz w:val="20"/>
      <w:szCs w:val="20"/>
    </w:rPr>
  </w:style>
  <w:style w:type="character" w:customStyle="1" w:styleId="a6">
    <w:name w:val="Верхний колонтитул Знак"/>
    <w:basedOn w:val="a0"/>
    <w:link w:val="a7"/>
    <w:uiPriority w:val="99"/>
    <w:rsid w:val="00417DC7"/>
    <w:rPr>
      <w:rFonts w:ascii="Times New Roman" w:eastAsia="Times New Roman" w:hAnsi="Times New Roman" w:cs="Times New Roman"/>
      <w:color w:val="00000A"/>
    </w:rPr>
  </w:style>
  <w:style w:type="paragraph" w:styleId="a7">
    <w:name w:val="header"/>
    <w:basedOn w:val="a"/>
    <w:link w:val="a6"/>
    <w:uiPriority w:val="99"/>
    <w:unhideWhenUsed/>
    <w:rsid w:val="00417DC7"/>
  </w:style>
  <w:style w:type="character" w:customStyle="1" w:styleId="12">
    <w:name w:val="Верхний колонтитул Знак1"/>
    <w:basedOn w:val="a0"/>
    <w:uiPriority w:val="99"/>
    <w:semiHidden/>
    <w:rsid w:val="00417DC7"/>
    <w:rPr>
      <w:rFonts w:ascii="Times New Roman" w:eastAsia="Times New Roman" w:hAnsi="Times New Roman" w:cs="Times New Roman"/>
      <w:color w:val="00000A"/>
    </w:rPr>
  </w:style>
  <w:style w:type="paragraph" w:styleId="a8">
    <w:name w:val="Body Text"/>
    <w:basedOn w:val="a"/>
    <w:link w:val="a9"/>
    <w:uiPriority w:val="1"/>
    <w:unhideWhenUsed/>
    <w:qFormat/>
    <w:rsid w:val="00417DC7"/>
    <w:pPr>
      <w:ind w:left="112"/>
      <w:jc w:val="both"/>
    </w:pPr>
    <w:rPr>
      <w:sz w:val="28"/>
      <w:szCs w:val="28"/>
    </w:rPr>
  </w:style>
  <w:style w:type="character" w:customStyle="1" w:styleId="a9">
    <w:name w:val="Основной текст Знак"/>
    <w:basedOn w:val="a0"/>
    <w:link w:val="a8"/>
    <w:uiPriority w:val="1"/>
    <w:rsid w:val="00417DC7"/>
    <w:rPr>
      <w:rFonts w:ascii="Times New Roman" w:eastAsia="Times New Roman" w:hAnsi="Times New Roman" w:cs="Times New Roman"/>
      <w:color w:val="00000A"/>
      <w:sz w:val="28"/>
      <w:szCs w:val="28"/>
    </w:rPr>
  </w:style>
  <w:style w:type="paragraph" w:styleId="aa">
    <w:name w:val="List"/>
    <w:basedOn w:val="a8"/>
    <w:uiPriority w:val="99"/>
    <w:semiHidden/>
    <w:unhideWhenUsed/>
    <w:rsid w:val="00417DC7"/>
    <w:rPr>
      <w:rFonts w:cs="Lucida Sans"/>
    </w:rPr>
  </w:style>
  <w:style w:type="paragraph" w:styleId="ab">
    <w:name w:val="Title"/>
    <w:basedOn w:val="a"/>
    <w:next w:val="a8"/>
    <w:link w:val="ac"/>
    <w:uiPriority w:val="99"/>
    <w:qFormat/>
    <w:rsid w:val="00417DC7"/>
    <w:pPr>
      <w:keepNext/>
      <w:spacing w:before="240" w:after="120"/>
    </w:pPr>
    <w:rPr>
      <w:rFonts w:eastAsia="Microsoft YaHei" w:cs="Lucida Sans"/>
      <w:sz w:val="28"/>
      <w:szCs w:val="28"/>
    </w:rPr>
  </w:style>
  <w:style w:type="character" w:customStyle="1" w:styleId="ac">
    <w:name w:val="Название Знак"/>
    <w:basedOn w:val="a0"/>
    <w:link w:val="ab"/>
    <w:uiPriority w:val="99"/>
    <w:rsid w:val="00417DC7"/>
    <w:rPr>
      <w:rFonts w:ascii="Times New Roman" w:eastAsia="Microsoft YaHei" w:hAnsi="Times New Roman" w:cs="Lucida Sans"/>
      <w:color w:val="00000A"/>
      <w:sz w:val="28"/>
      <w:szCs w:val="28"/>
    </w:rPr>
  </w:style>
  <w:style w:type="character" w:customStyle="1" w:styleId="ad">
    <w:name w:val="Основной текст с отступом Знак"/>
    <w:basedOn w:val="a0"/>
    <w:link w:val="ae"/>
    <w:uiPriority w:val="99"/>
    <w:semiHidden/>
    <w:rsid w:val="00417DC7"/>
    <w:rPr>
      <w:rFonts w:ascii="Liberation Serif;Times New Roma" w:eastAsia="Times New Roman" w:hAnsi="Liberation Serif;Times New Roma" w:cs="Liberation Serif;Times New Roma"/>
      <w:color w:val="00000A"/>
      <w:kern w:val="2"/>
    </w:rPr>
  </w:style>
  <w:style w:type="paragraph" w:styleId="ae">
    <w:name w:val="Body Text Indent"/>
    <w:basedOn w:val="a"/>
    <w:link w:val="ad"/>
    <w:uiPriority w:val="99"/>
    <w:semiHidden/>
    <w:unhideWhenUsed/>
    <w:rsid w:val="00417DC7"/>
    <w:pPr>
      <w:widowControl w:val="0"/>
      <w:suppressAutoHyphens/>
      <w:spacing w:after="120"/>
      <w:ind w:left="283"/>
    </w:pPr>
    <w:rPr>
      <w:rFonts w:ascii="Liberation Serif;Times New Roma" w:hAnsi="Liberation Serif;Times New Roma" w:cs="Liberation Serif;Times New Roma"/>
      <w:kern w:val="2"/>
    </w:rPr>
  </w:style>
  <w:style w:type="character" w:customStyle="1" w:styleId="13">
    <w:name w:val="Основной текст с отступом Знак1"/>
    <w:basedOn w:val="a0"/>
    <w:uiPriority w:val="99"/>
    <w:semiHidden/>
    <w:rsid w:val="00417DC7"/>
    <w:rPr>
      <w:rFonts w:ascii="Times New Roman" w:eastAsia="Times New Roman" w:hAnsi="Times New Roman" w:cs="Times New Roman"/>
      <w:color w:val="00000A"/>
    </w:rPr>
  </w:style>
  <w:style w:type="character" w:customStyle="1" w:styleId="af">
    <w:name w:val="Тема примечания Знак"/>
    <w:basedOn w:val="a5"/>
    <w:link w:val="af0"/>
    <w:uiPriority w:val="99"/>
    <w:semiHidden/>
    <w:rsid w:val="00417DC7"/>
    <w:rPr>
      <w:rFonts w:ascii="Times New Roman" w:eastAsia="Times New Roman" w:hAnsi="Times New Roman" w:cs="Times New Roman"/>
      <w:b/>
      <w:bCs/>
      <w:color w:val="00000A"/>
      <w:sz w:val="20"/>
      <w:szCs w:val="20"/>
    </w:rPr>
  </w:style>
  <w:style w:type="paragraph" w:styleId="af0">
    <w:name w:val="annotation subject"/>
    <w:basedOn w:val="a4"/>
    <w:next w:val="a4"/>
    <w:link w:val="af"/>
    <w:uiPriority w:val="99"/>
    <w:semiHidden/>
    <w:unhideWhenUsed/>
    <w:rsid w:val="00417DC7"/>
    <w:rPr>
      <w:b/>
      <w:bCs/>
    </w:rPr>
  </w:style>
  <w:style w:type="character" w:customStyle="1" w:styleId="14">
    <w:name w:val="Тема примечания Знак1"/>
    <w:basedOn w:val="a5"/>
    <w:uiPriority w:val="99"/>
    <w:semiHidden/>
    <w:rsid w:val="00417DC7"/>
    <w:rPr>
      <w:rFonts w:ascii="Times New Roman" w:eastAsia="Times New Roman" w:hAnsi="Times New Roman" w:cs="Times New Roman"/>
      <w:b/>
      <w:bCs/>
      <w:color w:val="00000A"/>
      <w:sz w:val="20"/>
      <w:szCs w:val="20"/>
    </w:rPr>
  </w:style>
  <w:style w:type="character" w:customStyle="1" w:styleId="af1">
    <w:name w:val="Текст выноски Знак"/>
    <w:basedOn w:val="a0"/>
    <w:link w:val="af2"/>
    <w:uiPriority w:val="99"/>
    <w:semiHidden/>
    <w:rsid w:val="00417DC7"/>
    <w:rPr>
      <w:rFonts w:ascii="Segoe UI" w:eastAsia="Times New Roman" w:hAnsi="Segoe UI" w:cs="Segoe UI"/>
      <w:color w:val="00000A"/>
      <w:sz w:val="18"/>
      <w:szCs w:val="18"/>
    </w:rPr>
  </w:style>
  <w:style w:type="paragraph" w:styleId="af2">
    <w:name w:val="Balloon Text"/>
    <w:basedOn w:val="a"/>
    <w:link w:val="af1"/>
    <w:uiPriority w:val="99"/>
    <w:semiHidden/>
    <w:unhideWhenUsed/>
    <w:rsid w:val="00417DC7"/>
    <w:rPr>
      <w:rFonts w:ascii="Segoe UI" w:hAnsi="Segoe UI" w:cs="Segoe UI"/>
      <w:sz w:val="18"/>
      <w:szCs w:val="18"/>
    </w:rPr>
  </w:style>
  <w:style w:type="character" w:customStyle="1" w:styleId="15">
    <w:name w:val="Текст выноски Знак1"/>
    <w:basedOn w:val="a0"/>
    <w:uiPriority w:val="99"/>
    <w:semiHidden/>
    <w:rsid w:val="00417DC7"/>
    <w:rPr>
      <w:rFonts w:ascii="Segoe UI" w:eastAsia="Times New Roman" w:hAnsi="Segoe UI" w:cs="Segoe UI"/>
      <w:color w:val="00000A"/>
      <w:sz w:val="18"/>
      <w:szCs w:val="18"/>
    </w:rPr>
  </w:style>
  <w:style w:type="paragraph" w:styleId="af3">
    <w:name w:val="List Paragraph"/>
    <w:basedOn w:val="a"/>
    <w:uiPriority w:val="34"/>
    <w:qFormat/>
    <w:rsid w:val="00417DC7"/>
    <w:pPr>
      <w:ind w:left="112" w:right="262"/>
      <w:jc w:val="both"/>
    </w:pPr>
  </w:style>
  <w:style w:type="paragraph" w:customStyle="1" w:styleId="Default">
    <w:name w:val="Default"/>
    <w:qFormat/>
    <w:rsid w:val="00417DC7"/>
    <w:pPr>
      <w:suppressAutoHyphens/>
      <w:spacing w:after="0" w:line="240" w:lineRule="auto"/>
    </w:pPr>
    <w:rPr>
      <w:rFonts w:ascii="Times New Roman" w:eastAsia="SimSun" w:hAnsi="Times New Roman" w:cs="Lucida Sans"/>
      <w:color w:val="000000"/>
      <w:kern w:val="2"/>
      <w:sz w:val="24"/>
      <w:szCs w:val="24"/>
      <w:lang w:val="ru-RU" w:eastAsia="zh-CN" w:bidi="hi-IN"/>
    </w:rPr>
  </w:style>
  <w:style w:type="paragraph" w:customStyle="1" w:styleId="western">
    <w:name w:val="western"/>
    <w:basedOn w:val="a"/>
    <w:qFormat/>
    <w:rsid w:val="00417DC7"/>
    <w:pPr>
      <w:spacing w:before="280" w:after="142" w:line="288" w:lineRule="auto"/>
    </w:pPr>
    <w:rPr>
      <w:rFonts w:ascii="Liberation Serif;Times New Roma" w:hAnsi="Liberation Serif;Times New Roma" w:cs="Liberation Serif;Times New Roma"/>
      <w:color w:val="000000"/>
    </w:rPr>
  </w:style>
  <w:style w:type="paragraph" w:customStyle="1" w:styleId="WW-">
    <w:name w:val="WW-Базовый"/>
    <w:uiPriority w:val="99"/>
    <w:qFormat/>
    <w:rsid w:val="00417DC7"/>
    <w:pPr>
      <w:suppressAutoHyphens/>
      <w:spacing w:after="200" w:line="276" w:lineRule="auto"/>
    </w:pPr>
    <w:rPr>
      <w:rFonts w:ascii="Book Antiqua" w:eastAsia="Book Antiqua" w:hAnsi="Book Antiqua" w:cs="Book Antiqua"/>
      <w:color w:val="000000"/>
      <w:sz w:val="24"/>
      <w:szCs w:val="24"/>
      <w:lang w:val="ru-RU" w:eastAsia="zh-CN"/>
    </w:rPr>
  </w:style>
  <w:style w:type="paragraph" w:customStyle="1" w:styleId="31">
    <w:name w:val="Основной текст 31"/>
    <w:basedOn w:val="a"/>
    <w:uiPriority w:val="99"/>
    <w:semiHidden/>
    <w:qFormat/>
    <w:rsid w:val="00417DC7"/>
    <w:pPr>
      <w:spacing w:line="360" w:lineRule="auto"/>
    </w:pPr>
    <w:rPr>
      <w:b/>
      <w:bCs/>
      <w:sz w:val="28"/>
    </w:rPr>
  </w:style>
  <w:style w:type="paragraph" w:customStyle="1" w:styleId="WW-1">
    <w:name w:val="WW-Базовый1"/>
    <w:qFormat/>
    <w:rsid w:val="00417DC7"/>
    <w:pPr>
      <w:suppressAutoHyphens/>
      <w:spacing w:after="200" w:line="276" w:lineRule="auto"/>
    </w:pPr>
    <w:rPr>
      <w:rFonts w:ascii="Book Antiqua" w:eastAsia="Book Antiqua" w:hAnsi="Book Antiqua" w:cs="Book Antiqua"/>
      <w:color w:val="000000"/>
      <w:kern w:val="2"/>
      <w:sz w:val="24"/>
      <w:szCs w:val="24"/>
      <w:lang w:val="ru-RU" w:eastAsia="zh-CN"/>
    </w:rPr>
  </w:style>
  <w:style w:type="paragraph" w:customStyle="1" w:styleId="16">
    <w:name w:val="Абзац списка1"/>
    <w:basedOn w:val="a"/>
    <w:uiPriority w:val="99"/>
    <w:semiHidden/>
    <w:rsid w:val="00417DC7"/>
    <w:pPr>
      <w:suppressAutoHyphens/>
      <w:spacing w:after="200"/>
      <w:ind w:left="720"/>
      <w:contextualSpacing/>
    </w:pPr>
    <w:rPr>
      <w:rFonts w:ascii="Calibri" w:eastAsia="Calibri" w:hAnsi="Calibri" w:cs="Calibri"/>
      <w:color w:val="auto"/>
      <w:kern w:val="2"/>
      <w:sz w:val="24"/>
      <w:szCs w:val="24"/>
      <w:lang w:eastAsia="zh-CN" w:bidi="hi-IN"/>
    </w:rPr>
  </w:style>
  <w:style w:type="paragraph" w:customStyle="1" w:styleId="17">
    <w:name w:val="Название объекта1"/>
    <w:basedOn w:val="a"/>
    <w:uiPriority w:val="99"/>
    <w:semiHidden/>
    <w:rsid w:val="00417DC7"/>
    <w:pPr>
      <w:suppressLineNumbers/>
      <w:suppressAutoHyphens/>
      <w:spacing w:before="120" w:after="120"/>
    </w:pPr>
    <w:rPr>
      <w:rFonts w:eastAsia="SimSun" w:cs="Lucida Sans"/>
      <w:i/>
      <w:iCs/>
      <w:color w:val="auto"/>
      <w:kern w:val="2"/>
      <w:sz w:val="24"/>
      <w:szCs w:val="24"/>
      <w:lang w:val="ru-RU" w:eastAsia="zh-CN" w:bidi="hi-IN"/>
    </w:rPr>
  </w:style>
  <w:style w:type="character" w:customStyle="1" w:styleId="ListLabel1">
    <w:name w:val="ListLabel 1"/>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
    <w:name w:val="ListLabel 2"/>
    <w:qFormat/>
    <w:rsid w:val="00417DC7"/>
    <w:rPr>
      <w:lang w:val="uk-UA" w:eastAsia="en-US" w:bidi="ar-SA"/>
    </w:rPr>
  </w:style>
  <w:style w:type="character" w:customStyle="1" w:styleId="ListLabel3">
    <w:name w:val="ListLabel 3"/>
    <w:qFormat/>
    <w:rsid w:val="00417DC7"/>
    <w:rPr>
      <w:lang w:val="uk-UA" w:eastAsia="en-US" w:bidi="ar-SA"/>
    </w:rPr>
  </w:style>
  <w:style w:type="character" w:customStyle="1" w:styleId="ListLabel4">
    <w:name w:val="ListLabel 4"/>
    <w:qFormat/>
    <w:rsid w:val="00417DC7"/>
    <w:rPr>
      <w:lang w:val="uk-UA" w:eastAsia="en-US" w:bidi="ar-SA"/>
    </w:rPr>
  </w:style>
  <w:style w:type="character" w:customStyle="1" w:styleId="ListLabel5">
    <w:name w:val="ListLabel 5"/>
    <w:qFormat/>
    <w:rsid w:val="00417DC7"/>
    <w:rPr>
      <w:lang w:val="uk-UA" w:eastAsia="en-US" w:bidi="ar-SA"/>
    </w:rPr>
  </w:style>
  <w:style w:type="character" w:customStyle="1" w:styleId="ListLabel6">
    <w:name w:val="ListLabel 6"/>
    <w:qFormat/>
    <w:rsid w:val="00417DC7"/>
    <w:rPr>
      <w:lang w:val="uk-UA" w:eastAsia="en-US" w:bidi="ar-SA"/>
    </w:rPr>
  </w:style>
  <w:style w:type="character" w:customStyle="1" w:styleId="ListLabel7">
    <w:name w:val="ListLabel 7"/>
    <w:qFormat/>
    <w:rsid w:val="00417DC7"/>
    <w:rPr>
      <w:lang w:val="uk-UA" w:eastAsia="en-US" w:bidi="ar-SA"/>
    </w:rPr>
  </w:style>
  <w:style w:type="character" w:customStyle="1" w:styleId="ListLabel8">
    <w:name w:val="ListLabel 8"/>
    <w:qFormat/>
    <w:rsid w:val="00417DC7"/>
    <w:rPr>
      <w:lang w:val="uk-UA" w:eastAsia="en-US" w:bidi="ar-SA"/>
    </w:rPr>
  </w:style>
  <w:style w:type="character" w:customStyle="1" w:styleId="ListLabel9">
    <w:name w:val="ListLabel 9"/>
    <w:qFormat/>
    <w:rsid w:val="00417DC7"/>
    <w:rPr>
      <w:lang w:val="uk-UA" w:eastAsia="en-US" w:bidi="ar-SA"/>
    </w:rPr>
  </w:style>
  <w:style w:type="character" w:customStyle="1" w:styleId="ListLabel10">
    <w:name w:val="ListLabel 10"/>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11">
    <w:name w:val="ListLabel 11"/>
    <w:qFormat/>
    <w:rsid w:val="00417DC7"/>
    <w:rPr>
      <w:lang w:val="uk-UA" w:eastAsia="en-US" w:bidi="ar-SA"/>
    </w:rPr>
  </w:style>
  <w:style w:type="character" w:customStyle="1" w:styleId="ListLabel12">
    <w:name w:val="ListLabel 12"/>
    <w:qFormat/>
    <w:rsid w:val="00417DC7"/>
    <w:rPr>
      <w:lang w:val="uk-UA" w:eastAsia="en-US" w:bidi="ar-SA"/>
    </w:rPr>
  </w:style>
  <w:style w:type="character" w:customStyle="1" w:styleId="ListLabel13">
    <w:name w:val="ListLabel 13"/>
    <w:qFormat/>
    <w:rsid w:val="00417DC7"/>
    <w:rPr>
      <w:lang w:val="uk-UA" w:eastAsia="en-US" w:bidi="ar-SA"/>
    </w:rPr>
  </w:style>
  <w:style w:type="character" w:customStyle="1" w:styleId="ListLabel14">
    <w:name w:val="ListLabel 14"/>
    <w:qFormat/>
    <w:rsid w:val="00417DC7"/>
    <w:rPr>
      <w:lang w:val="uk-UA" w:eastAsia="en-US" w:bidi="ar-SA"/>
    </w:rPr>
  </w:style>
  <w:style w:type="character" w:customStyle="1" w:styleId="ListLabel15">
    <w:name w:val="ListLabel 15"/>
    <w:qFormat/>
    <w:rsid w:val="00417DC7"/>
    <w:rPr>
      <w:lang w:val="uk-UA" w:eastAsia="en-US" w:bidi="ar-SA"/>
    </w:rPr>
  </w:style>
  <w:style w:type="character" w:customStyle="1" w:styleId="ListLabel16">
    <w:name w:val="ListLabel 16"/>
    <w:qFormat/>
    <w:rsid w:val="00417DC7"/>
    <w:rPr>
      <w:lang w:val="uk-UA" w:eastAsia="en-US" w:bidi="ar-SA"/>
    </w:rPr>
  </w:style>
  <w:style w:type="character" w:customStyle="1" w:styleId="ListLabel17">
    <w:name w:val="ListLabel 17"/>
    <w:qFormat/>
    <w:rsid w:val="00417DC7"/>
    <w:rPr>
      <w:lang w:val="uk-UA" w:eastAsia="en-US" w:bidi="ar-SA"/>
    </w:rPr>
  </w:style>
  <w:style w:type="character" w:customStyle="1" w:styleId="ListLabel18">
    <w:name w:val="ListLabel 18"/>
    <w:qFormat/>
    <w:rsid w:val="00417DC7"/>
    <w:rPr>
      <w:lang w:val="uk-UA" w:eastAsia="en-US" w:bidi="ar-SA"/>
    </w:rPr>
  </w:style>
  <w:style w:type="character" w:customStyle="1" w:styleId="ListLabel19">
    <w:name w:val="ListLabel 19"/>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0">
    <w:name w:val="ListLabel 20"/>
    <w:qFormat/>
    <w:rsid w:val="00417DC7"/>
    <w:rPr>
      <w:lang w:val="uk-UA" w:eastAsia="en-US" w:bidi="ar-SA"/>
    </w:rPr>
  </w:style>
  <w:style w:type="character" w:customStyle="1" w:styleId="ListLabel21">
    <w:name w:val="ListLabel 21"/>
    <w:qFormat/>
    <w:rsid w:val="00417DC7"/>
    <w:rPr>
      <w:lang w:val="uk-UA" w:eastAsia="en-US" w:bidi="ar-SA"/>
    </w:rPr>
  </w:style>
  <w:style w:type="character" w:customStyle="1" w:styleId="ListLabel22">
    <w:name w:val="ListLabel 22"/>
    <w:qFormat/>
    <w:rsid w:val="00417DC7"/>
    <w:rPr>
      <w:lang w:val="uk-UA" w:eastAsia="en-US" w:bidi="ar-SA"/>
    </w:rPr>
  </w:style>
  <w:style w:type="character" w:customStyle="1" w:styleId="ListLabel23">
    <w:name w:val="ListLabel 23"/>
    <w:qFormat/>
    <w:rsid w:val="00417DC7"/>
    <w:rPr>
      <w:lang w:val="uk-UA" w:eastAsia="en-US" w:bidi="ar-SA"/>
    </w:rPr>
  </w:style>
  <w:style w:type="character" w:customStyle="1" w:styleId="ListLabel24">
    <w:name w:val="ListLabel 24"/>
    <w:qFormat/>
    <w:rsid w:val="00417DC7"/>
    <w:rPr>
      <w:lang w:val="uk-UA" w:eastAsia="en-US" w:bidi="ar-SA"/>
    </w:rPr>
  </w:style>
  <w:style w:type="character" w:customStyle="1" w:styleId="ListLabel25">
    <w:name w:val="ListLabel 25"/>
    <w:qFormat/>
    <w:rsid w:val="00417DC7"/>
    <w:rPr>
      <w:lang w:val="uk-UA" w:eastAsia="en-US" w:bidi="ar-SA"/>
    </w:rPr>
  </w:style>
  <w:style w:type="character" w:customStyle="1" w:styleId="ListLabel26">
    <w:name w:val="ListLabel 26"/>
    <w:qFormat/>
    <w:rsid w:val="00417DC7"/>
    <w:rPr>
      <w:lang w:val="uk-UA" w:eastAsia="en-US" w:bidi="ar-SA"/>
    </w:rPr>
  </w:style>
  <w:style w:type="character" w:customStyle="1" w:styleId="ListLabel27">
    <w:name w:val="ListLabel 27"/>
    <w:qFormat/>
    <w:rsid w:val="00417DC7"/>
    <w:rPr>
      <w:lang w:val="uk-UA" w:eastAsia="en-US" w:bidi="ar-SA"/>
    </w:rPr>
  </w:style>
  <w:style w:type="character" w:customStyle="1" w:styleId="ListLabel28">
    <w:name w:val="ListLabel 28"/>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9">
    <w:name w:val="ListLabel 29"/>
    <w:qFormat/>
    <w:rsid w:val="00417DC7"/>
    <w:rPr>
      <w:lang w:val="uk-UA" w:eastAsia="en-US" w:bidi="ar-SA"/>
    </w:rPr>
  </w:style>
  <w:style w:type="character" w:customStyle="1" w:styleId="ListLabel30">
    <w:name w:val="ListLabel 30"/>
    <w:qFormat/>
    <w:rsid w:val="00417DC7"/>
    <w:rPr>
      <w:lang w:val="uk-UA" w:eastAsia="en-US" w:bidi="ar-SA"/>
    </w:rPr>
  </w:style>
  <w:style w:type="character" w:customStyle="1" w:styleId="ListLabel31">
    <w:name w:val="ListLabel 31"/>
    <w:qFormat/>
    <w:rsid w:val="00417DC7"/>
    <w:rPr>
      <w:lang w:val="uk-UA" w:eastAsia="en-US" w:bidi="ar-SA"/>
    </w:rPr>
  </w:style>
  <w:style w:type="character" w:customStyle="1" w:styleId="ListLabel32">
    <w:name w:val="ListLabel 32"/>
    <w:qFormat/>
    <w:rsid w:val="00417DC7"/>
    <w:rPr>
      <w:lang w:val="uk-UA" w:eastAsia="en-US" w:bidi="ar-SA"/>
    </w:rPr>
  </w:style>
  <w:style w:type="character" w:customStyle="1" w:styleId="ListLabel33">
    <w:name w:val="ListLabel 33"/>
    <w:qFormat/>
    <w:rsid w:val="00417DC7"/>
    <w:rPr>
      <w:lang w:val="uk-UA" w:eastAsia="en-US" w:bidi="ar-SA"/>
    </w:rPr>
  </w:style>
  <w:style w:type="character" w:customStyle="1" w:styleId="ListLabel34">
    <w:name w:val="ListLabel 34"/>
    <w:qFormat/>
    <w:rsid w:val="00417DC7"/>
    <w:rPr>
      <w:lang w:val="uk-UA" w:eastAsia="en-US" w:bidi="ar-SA"/>
    </w:rPr>
  </w:style>
  <w:style w:type="character" w:customStyle="1" w:styleId="ListLabel35">
    <w:name w:val="ListLabel 35"/>
    <w:qFormat/>
    <w:rsid w:val="00417DC7"/>
    <w:rPr>
      <w:lang w:val="uk-UA" w:eastAsia="en-US" w:bidi="ar-SA"/>
    </w:rPr>
  </w:style>
  <w:style w:type="character" w:customStyle="1" w:styleId="ListLabel36">
    <w:name w:val="ListLabel 36"/>
    <w:qFormat/>
    <w:rsid w:val="00417DC7"/>
    <w:rPr>
      <w:lang w:val="uk-UA" w:eastAsia="en-US" w:bidi="ar-SA"/>
    </w:rPr>
  </w:style>
  <w:style w:type="character" w:customStyle="1" w:styleId="ListLabel37">
    <w:name w:val="ListLabel 37"/>
    <w:qFormat/>
    <w:rsid w:val="00417DC7"/>
    <w:rPr>
      <w:rFonts w:ascii="Times New Roman" w:eastAsia="Times New Roman" w:hAnsi="Times New Roman" w:cs="Times New Roman" w:hint="default"/>
      <w:i/>
      <w:iCs w:val="0"/>
      <w:spacing w:val="-3"/>
      <w:w w:val="100"/>
      <w:sz w:val="24"/>
      <w:szCs w:val="24"/>
      <w:lang w:val="uk-UA" w:eastAsia="en-US" w:bidi="ar-SA"/>
    </w:rPr>
  </w:style>
  <w:style w:type="character" w:customStyle="1" w:styleId="ListLabel38">
    <w:name w:val="ListLabel 38"/>
    <w:qFormat/>
    <w:rsid w:val="00417DC7"/>
    <w:rPr>
      <w:lang w:val="uk-UA" w:eastAsia="en-US" w:bidi="ar-SA"/>
    </w:rPr>
  </w:style>
  <w:style w:type="character" w:customStyle="1" w:styleId="ListLabel39">
    <w:name w:val="ListLabel 39"/>
    <w:qFormat/>
    <w:rsid w:val="00417DC7"/>
    <w:rPr>
      <w:lang w:val="uk-UA" w:eastAsia="en-US" w:bidi="ar-SA"/>
    </w:rPr>
  </w:style>
  <w:style w:type="character" w:customStyle="1" w:styleId="ListLabel40">
    <w:name w:val="ListLabel 40"/>
    <w:qFormat/>
    <w:rsid w:val="00417DC7"/>
    <w:rPr>
      <w:lang w:val="uk-UA" w:eastAsia="en-US" w:bidi="ar-SA"/>
    </w:rPr>
  </w:style>
  <w:style w:type="character" w:customStyle="1" w:styleId="ListLabel41">
    <w:name w:val="ListLabel 41"/>
    <w:qFormat/>
    <w:rsid w:val="00417DC7"/>
    <w:rPr>
      <w:lang w:val="uk-UA" w:eastAsia="en-US" w:bidi="ar-SA"/>
    </w:rPr>
  </w:style>
  <w:style w:type="character" w:customStyle="1" w:styleId="ListLabel42">
    <w:name w:val="ListLabel 42"/>
    <w:qFormat/>
    <w:rsid w:val="00417DC7"/>
    <w:rPr>
      <w:lang w:val="uk-UA" w:eastAsia="en-US" w:bidi="ar-SA"/>
    </w:rPr>
  </w:style>
  <w:style w:type="character" w:customStyle="1" w:styleId="ListLabel43">
    <w:name w:val="ListLabel 43"/>
    <w:qFormat/>
    <w:rsid w:val="00417DC7"/>
    <w:rPr>
      <w:lang w:val="uk-UA" w:eastAsia="en-US" w:bidi="ar-SA"/>
    </w:rPr>
  </w:style>
  <w:style w:type="character" w:customStyle="1" w:styleId="ListLabel44">
    <w:name w:val="ListLabel 44"/>
    <w:qFormat/>
    <w:rsid w:val="00417DC7"/>
    <w:rPr>
      <w:lang w:val="uk-UA" w:eastAsia="en-US" w:bidi="ar-SA"/>
    </w:rPr>
  </w:style>
  <w:style w:type="character" w:customStyle="1" w:styleId="ListLabel45">
    <w:name w:val="ListLabel 45"/>
    <w:qFormat/>
    <w:rsid w:val="00417DC7"/>
    <w:rPr>
      <w:lang w:val="uk-UA" w:eastAsia="en-US" w:bidi="ar-SA"/>
    </w:rPr>
  </w:style>
  <w:style w:type="character" w:customStyle="1" w:styleId="ListLabel46">
    <w:name w:val="ListLabel 46"/>
    <w:qFormat/>
    <w:rsid w:val="00417DC7"/>
    <w:rPr>
      <w:rFonts w:ascii="Times New Roman" w:eastAsia="Times New Roman" w:hAnsi="Times New Roman" w:cs="Times New Roman" w:hint="default"/>
      <w:i/>
      <w:iCs w:val="0"/>
      <w:spacing w:val="-2"/>
      <w:w w:val="100"/>
      <w:sz w:val="24"/>
      <w:szCs w:val="24"/>
      <w:lang w:val="uk-UA" w:eastAsia="en-US" w:bidi="ar-SA"/>
    </w:rPr>
  </w:style>
  <w:style w:type="character" w:customStyle="1" w:styleId="ListLabel47">
    <w:name w:val="ListLabel 47"/>
    <w:qFormat/>
    <w:rsid w:val="00417DC7"/>
    <w:rPr>
      <w:lang w:val="uk-UA" w:eastAsia="en-US" w:bidi="ar-SA"/>
    </w:rPr>
  </w:style>
  <w:style w:type="character" w:customStyle="1" w:styleId="ListLabel48">
    <w:name w:val="ListLabel 48"/>
    <w:qFormat/>
    <w:rsid w:val="00417DC7"/>
    <w:rPr>
      <w:lang w:val="uk-UA" w:eastAsia="en-US" w:bidi="ar-SA"/>
    </w:rPr>
  </w:style>
  <w:style w:type="character" w:customStyle="1" w:styleId="ListLabel49">
    <w:name w:val="ListLabel 49"/>
    <w:qFormat/>
    <w:rsid w:val="00417DC7"/>
    <w:rPr>
      <w:lang w:val="uk-UA" w:eastAsia="en-US" w:bidi="ar-SA"/>
    </w:rPr>
  </w:style>
  <w:style w:type="character" w:customStyle="1" w:styleId="ListLabel50">
    <w:name w:val="ListLabel 50"/>
    <w:qFormat/>
    <w:rsid w:val="00417DC7"/>
    <w:rPr>
      <w:lang w:val="uk-UA" w:eastAsia="en-US" w:bidi="ar-SA"/>
    </w:rPr>
  </w:style>
  <w:style w:type="character" w:customStyle="1" w:styleId="ListLabel51">
    <w:name w:val="ListLabel 51"/>
    <w:qFormat/>
    <w:rsid w:val="00417DC7"/>
    <w:rPr>
      <w:lang w:val="uk-UA" w:eastAsia="en-US" w:bidi="ar-SA"/>
    </w:rPr>
  </w:style>
  <w:style w:type="character" w:customStyle="1" w:styleId="ListLabel52">
    <w:name w:val="ListLabel 52"/>
    <w:qFormat/>
    <w:rsid w:val="00417DC7"/>
    <w:rPr>
      <w:lang w:val="uk-UA" w:eastAsia="en-US" w:bidi="ar-SA"/>
    </w:rPr>
  </w:style>
  <w:style w:type="character" w:customStyle="1" w:styleId="ListLabel53">
    <w:name w:val="ListLabel 53"/>
    <w:qFormat/>
    <w:rsid w:val="00417DC7"/>
    <w:rPr>
      <w:lang w:val="uk-UA" w:eastAsia="en-US" w:bidi="ar-SA"/>
    </w:rPr>
  </w:style>
  <w:style w:type="character" w:customStyle="1" w:styleId="ListLabel54">
    <w:name w:val="ListLabel 54"/>
    <w:qFormat/>
    <w:rsid w:val="00417DC7"/>
    <w:rPr>
      <w:lang w:val="uk-UA" w:eastAsia="en-US" w:bidi="ar-SA"/>
    </w:rPr>
  </w:style>
  <w:style w:type="character" w:customStyle="1" w:styleId="ListLabel55">
    <w:name w:val="ListLabel 55"/>
    <w:qFormat/>
    <w:rsid w:val="00417DC7"/>
    <w:rPr>
      <w:rFonts w:ascii="Times New Roman" w:eastAsia="Times New Roman" w:hAnsi="Times New Roman" w:cs="Times New Roman" w:hint="default"/>
      <w:w w:val="100"/>
      <w:sz w:val="28"/>
      <w:szCs w:val="28"/>
      <w:lang w:val="uk-UA" w:eastAsia="en-US" w:bidi="ar-SA"/>
    </w:rPr>
  </w:style>
  <w:style w:type="character" w:customStyle="1" w:styleId="ListLabel56">
    <w:name w:val="ListLabel 56"/>
    <w:qFormat/>
    <w:rsid w:val="00417DC7"/>
    <w:rPr>
      <w:lang w:val="uk-UA" w:eastAsia="en-US" w:bidi="ar-SA"/>
    </w:rPr>
  </w:style>
  <w:style w:type="character" w:customStyle="1" w:styleId="ListLabel57">
    <w:name w:val="ListLabel 57"/>
    <w:qFormat/>
    <w:rsid w:val="00417DC7"/>
    <w:rPr>
      <w:lang w:val="uk-UA" w:eastAsia="en-US" w:bidi="ar-SA"/>
    </w:rPr>
  </w:style>
  <w:style w:type="character" w:customStyle="1" w:styleId="ListLabel58">
    <w:name w:val="ListLabel 58"/>
    <w:qFormat/>
    <w:rsid w:val="00417DC7"/>
    <w:rPr>
      <w:lang w:val="uk-UA" w:eastAsia="en-US" w:bidi="ar-SA"/>
    </w:rPr>
  </w:style>
  <w:style w:type="character" w:customStyle="1" w:styleId="ListLabel59">
    <w:name w:val="ListLabel 59"/>
    <w:qFormat/>
    <w:rsid w:val="00417DC7"/>
    <w:rPr>
      <w:lang w:val="uk-UA" w:eastAsia="en-US" w:bidi="ar-SA"/>
    </w:rPr>
  </w:style>
  <w:style w:type="character" w:customStyle="1" w:styleId="ListLabel60">
    <w:name w:val="ListLabel 60"/>
    <w:qFormat/>
    <w:rsid w:val="00417DC7"/>
    <w:rPr>
      <w:lang w:val="uk-UA" w:eastAsia="en-US" w:bidi="ar-SA"/>
    </w:rPr>
  </w:style>
  <w:style w:type="character" w:customStyle="1" w:styleId="ListLabel61">
    <w:name w:val="ListLabel 61"/>
    <w:qFormat/>
    <w:rsid w:val="00417DC7"/>
    <w:rPr>
      <w:lang w:val="uk-UA" w:eastAsia="en-US" w:bidi="ar-SA"/>
    </w:rPr>
  </w:style>
  <w:style w:type="character" w:customStyle="1" w:styleId="ListLabel62">
    <w:name w:val="ListLabel 62"/>
    <w:qFormat/>
    <w:rsid w:val="00417DC7"/>
    <w:rPr>
      <w:lang w:val="uk-UA" w:eastAsia="en-US" w:bidi="ar-SA"/>
    </w:rPr>
  </w:style>
  <w:style w:type="character" w:customStyle="1" w:styleId="ListLabel63">
    <w:name w:val="ListLabel 63"/>
    <w:qFormat/>
    <w:rsid w:val="00417DC7"/>
    <w:rPr>
      <w:lang w:val="uk-UA" w:eastAsia="en-US" w:bidi="ar-SA"/>
    </w:rPr>
  </w:style>
  <w:style w:type="character" w:customStyle="1" w:styleId="ListLabel64">
    <w:name w:val="ListLabel 64"/>
    <w:qFormat/>
    <w:rsid w:val="00417DC7"/>
    <w:rPr>
      <w:rFonts w:ascii="Times New Roman" w:eastAsia="Times New Roman" w:hAnsi="Times New Roman" w:cs="Times New Roman" w:hint="default"/>
      <w:w w:val="100"/>
      <w:sz w:val="28"/>
      <w:szCs w:val="28"/>
      <w:lang w:val="uk-UA" w:eastAsia="en-US" w:bidi="ar-SA"/>
    </w:rPr>
  </w:style>
  <w:style w:type="character" w:customStyle="1" w:styleId="ListLabel65">
    <w:name w:val="ListLabel 65"/>
    <w:qFormat/>
    <w:rsid w:val="00417DC7"/>
    <w:rPr>
      <w:rFonts w:ascii="Times New Roman" w:eastAsia="Times New Roman" w:hAnsi="Times New Roman" w:cs="Times New Roman" w:hint="default"/>
      <w:i/>
      <w:iCs w:val="0"/>
      <w:spacing w:val="0"/>
      <w:w w:val="100"/>
      <w:sz w:val="24"/>
      <w:szCs w:val="24"/>
      <w:lang w:val="uk-UA" w:eastAsia="en-US" w:bidi="ar-SA"/>
    </w:rPr>
  </w:style>
  <w:style w:type="character" w:customStyle="1" w:styleId="ListLabel66">
    <w:name w:val="ListLabel 66"/>
    <w:qFormat/>
    <w:rsid w:val="00417DC7"/>
    <w:rPr>
      <w:lang w:val="uk-UA" w:eastAsia="en-US" w:bidi="ar-SA"/>
    </w:rPr>
  </w:style>
  <w:style w:type="character" w:customStyle="1" w:styleId="ListLabel67">
    <w:name w:val="ListLabel 67"/>
    <w:qFormat/>
    <w:rsid w:val="00417DC7"/>
    <w:rPr>
      <w:lang w:val="uk-UA" w:eastAsia="en-US" w:bidi="ar-SA"/>
    </w:rPr>
  </w:style>
  <w:style w:type="character" w:customStyle="1" w:styleId="ListLabel68">
    <w:name w:val="ListLabel 68"/>
    <w:qFormat/>
    <w:rsid w:val="00417DC7"/>
    <w:rPr>
      <w:lang w:val="uk-UA" w:eastAsia="en-US" w:bidi="ar-SA"/>
    </w:rPr>
  </w:style>
  <w:style w:type="character" w:customStyle="1" w:styleId="ListLabel69">
    <w:name w:val="ListLabel 69"/>
    <w:qFormat/>
    <w:rsid w:val="00417DC7"/>
    <w:rPr>
      <w:lang w:val="uk-UA" w:eastAsia="en-US" w:bidi="ar-SA"/>
    </w:rPr>
  </w:style>
  <w:style w:type="character" w:customStyle="1" w:styleId="ListLabel70">
    <w:name w:val="ListLabel 70"/>
    <w:qFormat/>
    <w:rsid w:val="00417DC7"/>
    <w:rPr>
      <w:lang w:val="uk-UA" w:eastAsia="en-US" w:bidi="ar-SA"/>
    </w:rPr>
  </w:style>
  <w:style w:type="character" w:customStyle="1" w:styleId="ListLabel71">
    <w:name w:val="ListLabel 71"/>
    <w:qFormat/>
    <w:rsid w:val="00417DC7"/>
    <w:rPr>
      <w:lang w:val="uk-UA" w:eastAsia="en-US" w:bidi="ar-SA"/>
    </w:rPr>
  </w:style>
  <w:style w:type="character" w:customStyle="1" w:styleId="ListLabel72">
    <w:name w:val="ListLabel 72"/>
    <w:qFormat/>
    <w:rsid w:val="00417DC7"/>
    <w:rPr>
      <w:lang w:val="uk-UA" w:eastAsia="en-US" w:bidi="ar-SA"/>
    </w:rPr>
  </w:style>
  <w:style w:type="character" w:customStyle="1" w:styleId="ListLabel73">
    <w:name w:val="ListLabel 73"/>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74">
    <w:name w:val="ListLabel 74"/>
    <w:qFormat/>
    <w:rsid w:val="00417DC7"/>
    <w:rPr>
      <w:lang w:val="uk-UA" w:eastAsia="en-US" w:bidi="ar-SA"/>
    </w:rPr>
  </w:style>
  <w:style w:type="character" w:customStyle="1" w:styleId="ListLabel75">
    <w:name w:val="ListLabel 75"/>
    <w:qFormat/>
    <w:rsid w:val="00417DC7"/>
    <w:rPr>
      <w:lang w:val="uk-UA" w:eastAsia="en-US" w:bidi="ar-SA"/>
    </w:rPr>
  </w:style>
  <w:style w:type="character" w:customStyle="1" w:styleId="ListLabel76">
    <w:name w:val="ListLabel 76"/>
    <w:qFormat/>
    <w:rsid w:val="00417DC7"/>
    <w:rPr>
      <w:lang w:val="uk-UA" w:eastAsia="en-US" w:bidi="ar-SA"/>
    </w:rPr>
  </w:style>
  <w:style w:type="character" w:customStyle="1" w:styleId="ListLabel77">
    <w:name w:val="ListLabel 77"/>
    <w:qFormat/>
    <w:rsid w:val="00417DC7"/>
    <w:rPr>
      <w:lang w:val="uk-UA" w:eastAsia="en-US" w:bidi="ar-SA"/>
    </w:rPr>
  </w:style>
  <w:style w:type="character" w:customStyle="1" w:styleId="ListLabel78">
    <w:name w:val="ListLabel 78"/>
    <w:qFormat/>
    <w:rsid w:val="00417DC7"/>
    <w:rPr>
      <w:lang w:val="uk-UA" w:eastAsia="en-US" w:bidi="ar-SA"/>
    </w:rPr>
  </w:style>
  <w:style w:type="character" w:customStyle="1" w:styleId="ListLabel79">
    <w:name w:val="ListLabel 79"/>
    <w:qFormat/>
    <w:rsid w:val="00417DC7"/>
    <w:rPr>
      <w:lang w:val="uk-UA" w:eastAsia="en-US" w:bidi="ar-SA"/>
    </w:rPr>
  </w:style>
  <w:style w:type="character" w:customStyle="1" w:styleId="ListLabel80">
    <w:name w:val="ListLabel 80"/>
    <w:qFormat/>
    <w:rsid w:val="00417DC7"/>
    <w:rPr>
      <w:lang w:val="uk-UA" w:eastAsia="en-US" w:bidi="ar-SA"/>
    </w:rPr>
  </w:style>
  <w:style w:type="character" w:customStyle="1" w:styleId="ListLabel81">
    <w:name w:val="ListLabel 81"/>
    <w:qFormat/>
    <w:rsid w:val="00417DC7"/>
    <w:rPr>
      <w:lang w:val="uk-UA" w:eastAsia="en-US" w:bidi="ar-SA"/>
    </w:rPr>
  </w:style>
  <w:style w:type="character" w:customStyle="1" w:styleId="-">
    <w:name w:val="Интернет-ссылка"/>
    <w:rsid w:val="00417DC7"/>
    <w:rPr>
      <w:color w:val="000080"/>
      <w:u w:val="single"/>
    </w:rPr>
  </w:style>
  <w:style w:type="character" w:customStyle="1" w:styleId="A20">
    <w:name w:val="A2"/>
    <w:qFormat/>
    <w:rsid w:val="00417DC7"/>
    <w:rPr>
      <w:rFonts w:ascii="Arial" w:eastAsia="Arial" w:hAnsi="Arial" w:cs="Arial" w:hint="default"/>
      <w:b/>
      <w:bCs/>
      <w:color w:val="000000"/>
      <w:sz w:val="25"/>
      <w:szCs w:val="25"/>
    </w:rPr>
  </w:style>
  <w:style w:type="character" w:customStyle="1" w:styleId="af4">
    <w:name w:val="Выделение жирным"/>
    <w:qFormat/>
    <w:rsid w:val="00417DC7"/>
    <w:rPr>
      <w:b/>
      <w:bCs/>
    </w:rPr>
  </w:style>
  <w:style w:type="character" w:customStyle="1" w:styleId="18">
    <w:name w:val="Основной шрифт абзаца1"/>
    <w:qFormat/>
    <w:rsid w:val="00417DC7"/>
  </w:style>
  <w:style w:type="character" w:customStyle="1" w:styleId="highlight">
    <w:name w:val="highlight"/>
    <w:basedOn w:val="18"/>
    <w:qFormat/>
    <w:rsid w:val="00417DC7"/>
  </w:style>
  <w:style w:type="character" w:customStyle="1" w:styleId="WW8Num2z0">
    <w:name w:val="WW8Num2z0"/>
    <w:qFormat/>
    <w:rsid w:val="00417DC7"/>
    <w:rPr>
      <w:rFonts w:ascii="Times New Roman" w:eastAsia="PragmaticaC;BoldItalic" w:hAnsi="Times New Roman" w:cs="Times New Roman" w:hint="default"/>
      <w:b w:val="0"/>
      <w:bCs/>
      <w:i w:val="0"/>
      <w:iCs w:val="0"/>
      <w:kern w:val="2"/>
      <w:sz w:val="28"/>
      <w:szCs w:val="28"/>
      <w:lang w:val="uk-UA" w:eastAsia="uk-UA" w:bidi="hi-IN"/>
    </w:rPr>
  </w:style>
  <w:style w:type="character" w:customStyle="1" w:styleId="longtext1">
    <w:name w:val="long_text1"/>
    <w:qFormat/>
    <w:rsid w:val="00417DC7"/>
    <w:rPr>
      <w:sz w:val="20"/>
      <w:szCs w:val="20"/>
    </w:rPr>
  </w:style>
  <w:style w:type="character" w:customStyle="1" w:styleId="ListLabel82">
    <w:name w:val="ListLabel 82"/>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83">
    <w:name w:val="ListLabel 83"/>
    <w:qFormat/>
    <w:rsid w:val="00417DC7"/>
    <w:rPr>
      <w:rFonts w:ascii="Symbol" w:hAnsi="Symbol" w:cs="Symbol" w:hint="default"/>
      <w:lang w:val="uk-UA" w:eastAsia="en-US" w:bidi="ar-SA"/>
    </w:rPr>
  </w:style>
  <w:style w:type="character" w:customStyle="1" w:styleId="ListLabel84">
    <w:name w:val="ListLabel 84"/>
    <w:qFormat/>
    <w:rsid w:val="00417DC7"/>
    <w:rPr>
      <w:rFonts w:ascii="Symbol" w:hAnsi="Symbol" w:cs="Symbol" w:hint="default"/>
      <w:lang w:val="uk-UA" w:eastAsia="en-US" w:bidi="ar-SA"/>
    </w:rPr>
  </w:style>
  <w:style w:type="character" w:customStyle="1" w:styleId="ListLabel85">
    <w:name w:val="ListLabel 85"/>
    <w:qFormat/>
    <w:rsid w:val="00417DC7"/>
    <w:rPr>
      <w:rFonts w:ascii="Symbol" w:hAnsi="Symbol" w:cs="Symbol" w:hint="default"/>
      <w:lang w:val="uk-UA" w:eastAsia="en-US" w:bidi="ar-SA"/>
    </w:rPr>
  </w:style>
  <w:style w:type="character" w:customStyle="1" w:styleId="ListLabel86">
    <w:name w:val="ListLabel 86"/>
    <w:qFormat/>
    <w:rsid w:val="00417DC7"/>
    <w:rPr>
      <w:rFonts w:ascii="Symbol" w:hAnsi="Symbol" w:cs="Symbol" w:hint="default"/>
      <w:lang w:val="uk-UA" w:eastAsia="en-US" w:bidi="ar-SA"/>
    </w:rPr>
  </w:style>
  <w:style w:type="character" w:customStyle="1" w:styleId="ListLabel87">
    <w:name w:val="ListLabel 87"/>
    <w:qFormat/>
    <w:rsid w:val="00417DC7"/>
    <w:rPr>
      <w:rFonts w:ascii="Symbol" w:hAnsi="Symbol" w:cs="Symbol" w:hint="default"/>
      <w:lang w:val="uk-UA" w:eastAsia="en-US" w:bidi="ar-SA"/>
    </w:rPr>
  </w:style>
  <w:style w:type="character" w:customStyle="1" w:styleId="ListLabel88">
    <w:name w:val="ListLabel 88"/>
    <w:qFormat/>
    <w:rsid w:val="00417DC7"/>
    <w:rPr>
      <w:rFonts w:ascii="Symbol" w:hAnsi="Symbol" w:cs="Symbol" w:hint="default"/>
      <w:lang w:val="uk-UA" w:eastAsia="en-US" w:bidi="ar-SA"/>
    </w:rPr>
  </w:style>
  <w:style w:type="character" w:customStyle="1" w:styleId="ListLabel89">
    <w:name w:val="ListLabel 89"/>
    <w:qFormat/>
    <w:rsid w:val="00417DC7"/>
    <w:rPr>
      <w:rFonts w:ascii="Symbol" w:hAnsi="Symbol" w:cs="Symbol" w:hint="default"/>
      <w:lang w:val="uk-UA" w:eastAsia="en-US" w:bidi="ar-SA"/>
    </w:rPr>
  </w:style>
  <w:style w:type="character" w:customStyle="1" w:styleId="ListLabel90">
    <w:name w:val="ListLabel 90"/>
    <w:qFormat/>
    <w:rsid w:val="00417DC7"/>
    <w:rPr>
      <w:rFonts w:ascii="Symbol" w:hAnsi="Symbol" w:cs="Symbol" w:hint="default"/>
      <w:lang w:val="uk-UA" w:eastAsia="en-US" w:bidi="ar-SA"/>
    </w:rPr>
  </w:style>
  <w:style w:type="character" w:customStyle="1" w:styleId="ListLabel91">
    <w:name w:val="ListLabel 91"/>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92">
    <w:name w:val="ListLabel 92"/>
    <w:qFormat/>
    <w:rsid w:val="00417DC7"/>
    <w:rPr>
      <w:rFonts w:ascii="Symbol" w:hAnsi="Symbol" w:cs="Symbol" w:hint="default"/>
      <w:lang w:val="uk-UA" w:eastAsia="en-US" w:bidi="ar-SA"/>
    </w:rPr>
  </w:style>
  <w:style w:type="character" w:customStyle="1" w:styleId="ListLabel93">
    <w:name w:val="ListLabel 93"/>
    <w:qFormat/>
    <w:rsid w:val="00417DC7"/>
    <w:rPr>
      <w:rFonts w:ascii="Symbol" w:hAnsi="Symbol" w:cs="Symbol" w:hint="default"/>
      <w:lang w:val="uk-UA" w:eastAsia="en-US" w:bidi="ar-SA"/>
    </w:rPr>
  </w:style>
  <w:style w:type="character" w:customStyle="1" w:styleId="ListLabel94">
    <w:name w:val="ListLabel 94"/>
    <w:qFormat/>
    <w:rsid w:val="00417DC7"/>
    <w:rPr>
      <w:rFonts w:ascii="Symbol" w:hAnsi="Symbol" w:cs="Symbol" w:hint="default"/>
      <w:lang w:val="uk-UA" w:eastAsia="en-US" w:bidi="ar-SA"/>
    </w:rPr>
  </w:style>
  <w:style w:type="character" w:customStyle="1" w:styleId="ListLabel95">
    <w:name w:val="ListLabel 95"/>
    <w:qFormat/>
    <w:rsid w:val="00417DC7"/>
    <w:rPr>
      <w:rFonts w:ascii="Symbol" w:hAnsi="Symbol" w:cs="Symbol" w:hint="default"/>
      <w:lang w:val="uk-UA" w:eastAsia="en-US" w:bidi="ar-SA"/>
    </w:rPr>
  </w:style>
  <w:style w:type="character" w:customStyle="1" w:styleId="ListLabel96">
    <w:name w:val="ListLabel 96"/>
    <w:qFormat/>
    <w:rsid w:val="00417DC7"/>
    <w:rPr>
      <w:rFonts w:ascii="Symbol" w:hAnsi="Symbol" w:cs="Symbol" w:hint="default"/>
      <w:lang w:val="uk-UA" w:eastAsia="en-US" w:bidi="ar-SA"/>
    </w:rPr>
  </w:style>
  <w:style w:type="character" w:customStyle="1" w:styleId="ListLabel97">
    <w:name w:val="ListLabel 97"/>
    <w:qFormat/>
    <w:rsid w:val="00417DC7"/>
    <w:rPr>
      <w:rFonts w:ascii="Symbol" w:hAnsi="Symbol" w:cs="Symbol" w:hint="default"/>
      <w:lang w:val="uk-UA" w:eastAsia="en-US" w:bidi="ar-SA"/>
    </w:rPr>
  </w:style>
  <w:style w:type="character" w:customStyle="1" w:styleId="ListLabel98">
    <w:name w:val="ListLabel 98"/>
    <w:qFormat/>
    <w:rsid w:val="00417DC7"/>
    <w:rPr>
      <w:rFonts w:ascii="Symbol" w:hAnsi="Symbol" w:cs="Symbol" w:hint="default"/>
      <w:lang w:val="uk-UA" w:eastAsia="en-US" w:bidi="ar-SA"/>
    </w:rPr>
  </w:style>
  <w:style w:type="character" w:customStyle="1" w:styleId="ListLabel99">
    <w:name w:val="ListLabel 99"/>
    <w:qFormat/>
    <w:rsid w:val="00417DC7"/>
    <w:rPr>
      <w:rFonts w:ascii="Symbol" w:hAnsi="Symbol" w:cs="Symbol" w:hint="default"/>
      <w:lang w:val="uk-UA" w:eastAsia="en-US" w:bidi="ar-SA"/>
    </w:rPr>
  </w:style>
  <w:style w:type="character" w:customStyle="1" w:styleId="ListLabel100">
    <w:name w:val="ListLabel 100"/>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101">
    <w:name w:val="ListLabel 101"/>
    <w:qFormat/>
    <w:rsid w:val="00417DC7"/>
    <w:rPr>
      <w:rFonts w:ascii="Symbol" w:hAnsi="Symbol" w:cs="Symbol" w:hint="default"/>
      <w:lang w:val="uk-UA" w:eastAsia="en-US" w:bidi="ar-SA"/>
    </w:rPr>
  </w:style>
  <w:style w:type="character" w:customStyle="1" w:styleId="ListLabel102">
    <w:name w:val="ListLabel 102"/>
    <w:qFormat/>
    <w:rsid w:val="00417DC7"/>
    <w:rPr>
      <w:rFonts w:ascii="Symbol" w:hAnsi="Symbol" w:cs="Symbol" w:hint="default"/>
      <w:lang w:val="uk-UA" w:eastAsia="en-US" w:bidi="ar-SA"/>
    </w:rPr>
  </w:style>
  <w:style w:type="character" w:customStyle="1" w:styleId="ListLabel103">
    <w:name w:val="ListLabel 103"/>
    <w:qFormat/>
    <w:rsid w:val="00417DC7"/>
    <w:rPr>
      <w:rFonts w:ascii="Symbol" w:hAnsi="Symbol" w:cs="Symbol" w:hint="default"/>
      <w:lang w:val="uk-UA" w:eastAsia="en-US" w:bidi="ar-SA"/>
    </w:rPr>
  </w:style>
  <w:style w:type="character" w:customStyle="1" w:styleId="ListLabel104">
    <w:name w:val="ListLabel 104"/>
    <w:qFormat/>
    <w:rsid w:val="00417DC7"/>
    <w:rPr>
      <w:rFonts w:ascii="Symbol" w:hAnsi="Symbol" w:cs="Symbol" w:hint="default"/>
      <w:lang w:val="uk-UA" w:eastAsia="en-US" w:bidi="ar-SA"/>
    </w:rPr>
  </w:style>
  <w:style w:type="character" w:customStyle="1" w:styleId="ListLabel105">
    <w:name w:val="ListLabel 105"/>
    <w:qFormat/>
    <w:rsid w:val="00417DC7"/>
    <w:rPr>
      <w:rFonts w:ascii="Symbol" w:hAnsi="Symbol" w:cs="Symbol" w:hint="default"/>
      <w:lang w:val="uk-UA" w:eastAsia="en-US" w:bidi="ar-SA"/>
    </w:rPr>
  </w:style>
  <w:style w:type="character" w:customStyle="1" w:styleId="ListLabel106">
    <w:name w:val="ListLabel 106"/>
    <w:qFormat/>
    <w:rsid w:val="00417DC7"/>
    <w:rPr>
      <w:rFonts w:ascii="Symbol" w:hAnsi="Symbol" w:cs="Symbol" w:hint="default"/>
      <w:lang w:val="uk-UA" w:eastAsia="en-US" w:bidi="ar-SA"/>
    </w:rPr>
  </w:style>
  <w:style w:type="character" w:customStyle="1" w:styleId="ListLabel107">
    <w:name w:val="ListLabel 107"/>
    <w:qFormat/>
    <w:rsid w:val="00417DC7"/>
    <w:rPr>
      <w:rFonts w:ascii="Symbol" w:hAnsi="Symbol" w:cs="Symbol" w:hint="default"/>
      <w:lang w:val="uk-UA" w:eastAsia="en-US" w:bidi="ar-SA"/>
    </w:rPr>
  </w:style>
  <w:style w:type="character" w:customStyle="1" w:styleId="ListLabel108">
    <w:name w:val="ListLabel 108"/>
    <w:qFormat/>
    <w:rsid w:val="00417DC7"/>
    <w:rPr>
      <w:rFonts w:ascii="Symbol" w:hAnsi="Symbol" w:cs="Symbol" w:hint="default"/>
      <w:lang w:val="uk-UA" w:eastAsia="en-US" w:bidi="ar-SA"/>
    </w:rPr>
  </w:style>
  <w:style w:type="character" w:customStyle="1" w:styleId="ListLabel109">
    <w:name w:val="ListLabel 109"/>
    <w:qFormat/>
    <w:rsid w:val="00417DC7"/>
    <w:rPr>
      <w:rFonts w:ascii="Times New Roman" w:eastAsia="Times New Roman" w:hAnsi="Times New Roman" w:cs="Times New Roman" w:hint="default"/>
      <w:i/>
      <w:iCs w:val="0"/>
      <w:spacing w:val="-3"/>
      <w:w w:val="100"/>
      <w:sz w:val="24"/>
      <w:szCs w:val="24"/>
      <w:lang w:val="uk-UA" w:eastAsia="en-US" w:bidi="ar-SA"/>
    </w:rPr>
  </w:style>
  <w:style w:type="character" w:customStyle="1" w:styleId="ListLabel110">
    <w:name w:val="ListLabel 110"/>
    <w:qFormat/>
    <w:rsid w:val="00417DC7"/>
    <w:rPr>
      <w:rFonts w:ascii="Symbol" w:hAnsi="Symbol" w:cs="Symbol" w:hint="default"/>
      <w:lang w:val="uk-UA" w:eastAsia="en-US" w:bidi="ar-SA"/>
    </w:rPr>
  </w:style>
  <w:style w:type="character" w:customStyle="1" w:styleId="ListLabel111">
    <w:name w:val="ListLabel 111"/>
    <w:qFormat/>
    <w:rsid w:val="00417DC7"/>
    <w:rPr>
      <w:rFonts w:ascii="Symbol" w:hAnsi="Symbol" w:cs="Symbol" w:hint="default"/>
      <w:lang w:val="uk-UA" w:eastAsia="en-US" w:bidi="ar-SA"/>
    </w:rPr>
  </w:style>
  <w:style w:type="character" w:customStyle="1" w:styleId="ListLabel112">
    <w:name w:val="ListLabel 112"/>
    <w:qFormat/>
    <w:rsid w:val="00417DC7"/>
    <w:rPr>
      <w:rFonts w:ascii="Symbol" w:hAnsi="Symbol" w:cs="Symbol" w:hint="default"/>
      <w:lang w:val="uk-UA" w:eastAsia="en-US" w:bidi="ar-SA"/>
    </w:rPr>
  </w:style>
  <w:style w:type="character" w:customStyle="1" w:styleId="ListLabel113">
    <w:name w:val="ListLabel 113"/>
    <w:qFormat/>
    <w:rsid w:val="00417DC7"/>
    <w:rPr>
      <w:rFonts w:ascii="Symbol" w:hAnsi="Symbol" w:cs="Symbol" w:hint="default"/>
      <w:lang w:val="uk-UA" w:eastAsia="en-US" w:bidi="ar-SA"/>
    </w:rPr>
  </w:style>
  <w:style w:type="character" w:customStyle="1" w:styleId="ListLabel114">
    <w:name w:val="ListLabel 114"/>
    <w:qFormat/>
    <w:rsid w:val="00417DC7"/>
    <w:rPr>
      <w:rFonts w:ascii="Symbol" w:hAnsi="Symbol" w:cs="Symbol" w:hint="default"/>
      <w:lang w:val="uk-UA" w:eastAsia="en-US" w:bidi="ar-SA"/>
    </w:rPr>
  </w:style>
  <w:style w:type="character" w:customStyle="1" w:styleId="ListLabel115">
    <w:name w:val="ListLabel 115"/>
    <w:qFormat/>
    <w:rsid w:val="00417DC7"/>
    <w:rPr>
      <w:rFonts w:ascii="Symbol" w:hAnsi="Symbol" w:cs="Symbol" w:hint="default"/>
      <w:lang w:val="uk-UA" w:eastAsia="en-US" w:bidi="ar-SA"/>
    </w:rPr>
  </w:style>
  <w:style w:type="character" w:customStyle="1" w:styleId="ListLabel116">
    <w:name w:val="ListLabel 116"/>
    <w:qFormat/>
    <w:rsid w:val="00417DC7"/>
    <w:rPr>
      <w:rFonts w:ascii="Symbol" w:hAnsi="Symbol" w:cs="Symbol" w:hint="default"/>
      <w:lang w:val="uk-UA" w:eastAsia="en-US" w:bidi="ar-SA"/>
    </w:rPr>
  </w:style>
  <w:style w:type="character" w:customStyle="1" w:styleId="ListLabel117">
    <w:name w:val="ListLabel 117"/>
    <w:qFormat/>
    <w:rsid w:val="00417DC7"/>
    <w:rPr>
      <w:rFonts w:ascii="Symbol" w:hAnsi="Symbol" w:cs="Symbol" w:hint="default"/>
      <w:lang w:val="uk-UA" w:eastAsia="en-US" w:bidi="ar-SA"/>
    </w:rPr>
  </w:style>
  <w:style w:type="character" w:customStyle="1" w:styleId="ListLabel118">
    <w:name w:val="ListLabel 118"/>
    <w:qFormat/>
    <w:rsid w:val="00417DC7"/>
    <w:rPr>
      <w:rFonts w:ascii="Times New Roman" w:eastAsia="Times New Roman" w:hAnsi="Times New Roman" w:cs="Times New Roman" w:hint="default"/>
      <w:i/>
      <w:iCs w:val="0"/>
      <w:spacing w:val="-2"/>
      <w:w w:val="100"/>
      <w:sz w:val="24"/>
      <w:szCs w:val="24"/>
      <w:lang w:val="uk-UA" w:eastAsia="en-US" w:bidi="ar-SA"/>
    </w:rPr>
  </w:style>
  <w:style w:type="character" w:customStyle="1" w:styleId="ListLabel119">
    <w:name w:val="ListLabel 119"/>
    <w:qFormat/>
    <w:rsid w:val="00417DC7"/>
    <w:rPr>
      <w:rFonts w:ascii="Symbol" w:hAnsi="Symbol" w:cs="Symbol" w:hint="default"/>
      <w:lang w:val="uk-UA" w:eastAsia="en-US" w:bidi="ar-SA"/>
    </w:rPr>
  </w:style>
  <w:style w:type="character" w:customStyle="1" w:styleId="ListLabel120">
    <w:name w:val="ListLabel 120"/>
    <w:qFormat/>
    <w:rsid w:val="00417DC7"/>
    <w:rPr>
      <w:rFonts w:ascii="Symbol" w:hAnsi="Symbol" w:cs="Symbol" w:hint="default"/>
      <w:lang w:val="uk-UA" w:eastAsia="en-US" w:bidi="ar-SA"/>
    </w:rPr>
  </w:style>
  <w:style w:type="character" w:customStyle="1" w:styleId="ListLabel121">
    <w:name w:val="ListLabel 121"/>
    <w:qFormat/>
    <w:rsid w:val="00417DC7"/>
    <w:rPr>
      <w:rFonts w:ascii="Symbol" w:hAnsi="Symbol" w:cs="Symbol" w:hint="default"/>
      <w:lang w:val="uk-UA" w:eastAsia="en-US" w:bidi="ar-SA"/>
    </w:rPr>
  </w:style>
  <w:style w:type="character" w:customStyle="1" w:styleId="ListLabel122">
    <w:name w:val="ListLabel 122"/>
    <w:qFormat/>
    <w:rsid w:val="00417DC7"/>
    <w:rPr>
      <w:rFonts w:ascii="Symbol" w:hAnsi="Symbol" w:cs="Symbol" w:hint="default"/>
      <w:lang w:val="uk-UA" w:eastAsia="en-US" w:bidi="ar-SA"/>
    </w:rPr>
  </w:style>
  <w:style w:type="character" w:customStyle="1" w:styleId="ListLabel123">
    <w:name w:val="ListLabel 123"/>
    <w:qFormat/>
    <w:rsid w:val="00417DC7"/>
    <w:rPr>
      <w:rFonts w:ascii="Symbol" w:hAnsi="Symbol" w:cs="Symbol" w:hint="default"/>
      <w:lang w:val="uk-UA" w:eastAsia="en-US" w:bidi="ar-SA"/>
    </w:rPr>
  </w:style>
  <w:style w:type="character" w:customStyle="1" w:styleId="ListLabel124">
    <w:name w:val="ListLabel 124"/>
    <w:qFormat/>
    <w:rsid w:val="00417DC7"/>
    <w:rPr>
      <w:rFonts w:ascii="Symbol" w:hAnsi="Symbol" w:cs="Symbol" w:hint="default"/>
      <w:lang w:val="uk-UA" w:eastAsia="en-US" w:bidi="ar-SA"/>
    </w:rPr>
  </w:style>
  <w:style w:type="character" w:customStyle="1" w:styleId="ListLabel125">
    <w:name w:val="ListLabel 125"/>
    <w:qFormat/>
    <w:rsid w:val="00417DC7"/>
    <w:rPr>
      <w:rFonts w:ascii="Symbol" w:hAnsi="Symbol" w:cs="Symbol" w:hint="default"/>
      <w:lang w:val="uk-UA" w:eastAsia="en-US" w:bidi="ar-SA"/>
    </w:rPr>
  </w:style>
  <w:style w:type="character" w:customStyle="1" w:styleId="ListLabel126">
    <w:name w:val="ListLabel 126"/>
    <w:qFormat/>
    <w:rsid w:val="00417DC7"/>
    <w:rPr>
      <w:rFonts w:ascii="Symbol" w:hAnsi="Symbol" w:cs="Symbol" w:hint="default"/>
      <w:lang w:val="uk-UA" w:eastAsia="en-US" w:bidi="ar-SA"/>
    </w:rPr>
  </w:style>
  <w:style w:type="character" w:customStyle="1" w:styleId="ListLabel127">
    <w:name w:val="ListLabel 127"/>
    <w:qFormat/>
    <w:rsid w:val="00417DC7"/>
    <w:rPr>
      <w:rFonts w:ascii="Times New Roman" w:hAnsi="Times New Roman" w:cs="Times New Roman" w:hint="default"/>
      <w:w w:val="100"/>
      <w:sz w:val="28"/>
      <w:szCs w:val="28"/>
      <w:lang w:val="uk-UA" w:eastAsia="en-US" w:bidi="ar-SA"/>
    </w:rPr>
  </w:style>
  <w:style w:type="character" w:customStyle="1" w:styleId="ListLabel128">
    <w:name w:val="ListLabel 128"/>
    <w:qFormat/>
    <w:rsid w:val="00417DC7"/>
    <w:rPr>
      <w:rFonts w:ascii="Symbol" w:hAnsi="Symbol" w:cs="Symbol" w:hint="default"/>
      <w:lang w:val="uk-UA" w:eastAsia="en-US" w:bidi="ar-SA"/>
    </w:rPr>
  </w:style>
  <w:style w:type="character" w:customStyle="1" w:styleId="ListLabel129">
    <w:name w:val="ListLabel 129"/>
    <w:qFormat/>
    <w:rsid w:val="00417DC7"/>
    <w:rPr>
      <w:rFonts w:ascii="Symbol" w:hAnsi="Symbol" w:cs="Symbol" w:hint="default"/>
      <w:lang w:val="uk-UA" w:eastAsia="en-US" w:bidi="ar-SA"/>
    </w:rPr>
  </w:style>
  <w:style w:type="character" w:customStyle="1" w:styleId="ListLabel130">
    <w:name w:val="ListLabel 130"/>
    <w:qFormat/>
    <w:rsid w:val="00417DC7"/>
    <w:rPr>
      <w:rFonts w:ascii="Symbol" w:hAnsi="Symbol" w:cs="Symbol" w:hint="default"/>
      <w:lang w:val="uk-UA" w:eastAsia="en-US" w:bidi="ar-SA"/>
    </w:rPr>
  </w:style>
  <w:style w:type="character" w:customStyle="1" w:styleId="ListLabel131">
    <w:name w:val="ListLabel 131"/>
    <w:qFormat/>
    <w:rsid w:val="00417DC7"/>
    <w:rPr>
      <w:rFonts w:ascii="Symbol" w:hAnsi="Symbol" w:cs="Symbol" w:hint="default"/>
      <w:lang w:val="uk-UA" w:eastAsia="en-US" w:bidi="ar-SA"/>
    </w:rPr>
  </w:style>
  <w:style w:type="character" w:customStyle="1" w:styleId="ListLabel132">
    <w:name w:val="ListLabel 132"/>
    <w:qFormat/>
    <w:rsid w:val="00417DC7"/>
    <w:rPr>
      <w:rFonts w:ascii="Symbol" w:hAnsi="Symbol" w:cs="Symbol" w:hint="default"/>
      <w:lang w:val="uk-UA" w:eastAsia="en-US" w:bidi="ar-SA"/>
    </w:rPr>
  </w:style>
  <w:style w:type="character" w:customStyle="1" w:styleId="ListLabel133">
    <w:name w:val="ListLabel 133"/>
    <w:qFormat/>
    <w:rsid w:val="00417DC7"/>
    <w:rPr>
      <w:rFonts w:ascii="Symbol" w:hAnsi="Symbol" w:cs="Symbol" w:hint="default"/>
      <w:lang w:val="uk-UA" w:eastAsia="en-US" w:bidi="ar-SA"/>
    </w:rPr>
  </w:style>
  <w:style w:type="character" w:customStyle="1" w:styleId="ListLabel134">
    <w:name w:val="ListLabel 134"/>
    <w:qFormat/>
    <w:rsid w:val="00417DC7"/>
    <w:rPr>
      <w:rFonts w:ascii="Symbol" w:hAnsi="Symbol" w:cs="Symbol" w:hint="default"/>
      <w:lang w:val="uk-UA" w:eastAsia="en-US" w:bidi="ar-SA"/>
    </w:rPr>
  </w:style>
  <w:style w:type="character" w:customStyle="1" w:styleId="ListLabel135">
    <w:name w:val="ListLabel 135"/>
    <w:qFormat/>
    <w:rsid w:val="00417DC7"/>
    <w:rPr>
      <w:rFonts w:ascii="Symbol" w:hAnsi="Symbol" w:cs="Symbol" w:hint="default"/>
      <w:lang w:val="uk-UA" w:eastAsia="en-US" w:bidi="ar-SA"/>
    </w:rPr>
  </w:style>
  <w:style w:type="character" w:customStyle="1" w:styleId="ListLabel136">
    <w:name w:val="ListLabel 136"/>
    <w:qFormat/>
    <w:rsid w:val="00417DC7"/>
    <w:rPr>
      <w:rFonts w:ascii="Times New Roman" w:eastAsia="Times New Roman" w:hAnsi="Times New Roman" w:cs="Times New Roman" w:hint="default"/>
      <w:w w:val="100"/>
      <w:sz w:val="28"/>
      <w:szCs w:val="28"/>
      <w:lang w:val="uk-UA" w:eastAsia="en-US" w:bidi="ar-SA"/>
    </w:rPr>
  </w:style>
  <w:style w:type="character" w:customStyle="1" w:styleId="ListLabel137">
    <w:name w:val="ListLabel 137"/>
    <w:qFormat/>
    <w:rsid w:val="00417DC7"/>
    <w:rPr>
      <w:rFonts w:ascii="Times New Roman" w:eastAsia="Times New Roman" w:hAnsi="Times New Roman" w:cs="Times New Roman" w:hint="default"/>
      <w:i/>
      <w:iCs w:val="0"/>
      <w:spacing w:val="0"/>
      <w:w w:val="100"/>
      <w:sz w:val="24"/>
      <w:szCs w:val="24"/>
      <w:lang w:val="uk-UA" w:eastAsia="en-US" w:bidi="ar-SA"/>
    </w:rPr>
  </w:style>
  <w:style w:type="character" w:customStyle="1" w:styleId="ListLabel138">
    <w:name w:val="ListLabel 138"/>
    <w:qFormat/>
    <w:rsid w:val="00417DC7"/>
    <w:rPr>
      <w:rFonts w:ascii="Symbol" w:hAnsi="Symbol" w:cs="Symbol" w:hint="default"/>
      <w:lang w:val="uk-UA" w:eastAsia="en-US" w:bidi="ar-SA"/>
    </w:rPr>
  </w:style>
  <w:style w:type="character" w:customStyle="1" w:styleId="ListLabel139">
    <w:name w:val="ListLabel 139"/>
    <w:qFormat/>
    <w:rsid w:val="00417DC7"/>
    <w:rPr>
      <w:rFonts w:ascii="Symbol" w:hAnsi="Symbol" w:cs="Symbol" w:hint="default"/>
      <w:lang w:val="uk-UA" w:eastAsia="en-US" w:bidi="ar-SA"/>
    </w:rPr>
  </w:style>
  <w:style w:type="character" w:customStyle="1" w:styleId="ListLabel140">
    <w:name w:val="ListLabel 140"/>
    <w:qFormat/>
    <w:rsid w:val="00417DC7"/>
    <w:rPr>
      <w:rFonts w:ascii="Symbol" w:hAnsi="Symbol" w:cs="Symbol" w:hint="default"/>
      <w:lang w:val="uk-UA" w:eastAsia="en-US" w:bidi="ar-SA"/>
    </w:rPr>
  </w:style>
  <w:style w:type="character" w:customStyle="1" w:styleId="ListLabel141">
    <w:name w:val="ListLabel 141"/>
    <w:qFormat/>
    <w:rsid w:val="00417DC7"/>
    <w:rPr>
      <w:rFonts w:ascii="Symbol" w:hAnsi="Symbol" w:cs="Symbol" w:hint="default"/>
      <w:lang w:val="uk-UA" w:eastAsia="en-US" w:bidi="ar-SA"/>
    </w:rPr>
  </w:style>
  <w:style w:type="character" w:customStyle="1" w:styleId="ListLabel142">
    <w:name w:val="ListLabel 142"/>
    <w:qFormat/>
    <w:rsid w:val="00417DC7"/>
    <w:rPr>
      <w:rFonts w:ascii="Symbol" w:hAnsi="Symbol" w:cs="Symbol" w:hint="default"/>
      <w:lang w:val="uk-UA" w:eastAsia="en-US" w:bidi="ar-SA"/>
    </w:rPr>
  </w:style>
  <w:style w:type="character" w:customStyle="1" w:styleId="ListLabel143">
    <w:name w:val="ListLabel 143"/>
    <w:qFormat/>
    <w:rsid w:val="00417DC7"/>
    <w:rPr>
      <w:rFonts w:ascii="Symbol" w:hAnsi="Symbol" w:cs="Symbol" w:hint="default"/>
      <w:lang w:val="uk-UA" w:eastAsia="en-US" w:bidi="ar-SA"/>
    </w:rPr>
  </w:style>
  <w:style w:type="character" w:customStyle="1" w:styleId="ListLabel144">
    <w:name w:val="ListLabel 144"/>
    <w:qFormat/>
    <w:rsid w:val="00417DC7"/>
    <w:rPr>
      <w:rFonts w:ascii="Symbol" w:hAnsi="Symbol" w:cs="Symbol" w:hint="default"/>
      <w:lang w:val="uk-UA" w:eastAsia="en-US" w:bidi="ar-SA"/>
    </w:rPr>
  </w:style>
  <w:style w:type="character" w:customStyle="1" w:styleId="ListLabel145">
    <w:name w:val="ListLabel 145"/>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146">
    <w:name w:val="ListLabel 146"/>
    <w:qFormat/>
    <w:rsid w:val="00417DC7"/>
    <w:rPr>
      <w:rFonts w:ascii="Symbol" w:hAnsi="Symbol" w:cs="Symbol" w:hint="default"/>
      <w:lang w:val="uk-UA" w:eastAsia="en-US" w:bidi="ar-SA"/>
    </w:rPr>
  </w:style>
  <w:style w:type="character" w:customStyle="1" w:styleId="ListLabel147">
    <w:name w:val="ListLabel 147"/>
    <w:qFormat/>
    <w:rsid w:val="00417DC7"/>
    <w:rPr>
      <w:rFonts w:ascii="Symbol" w:hAnsi="Symbol" w:cs="Symbol" w:hint="default"/>
      <w:lang w:val="uk-UA" w:eastAsia="en-US" w:bidi="ar-SA"/>
    </w:rPr>
  </w:style>
  <w:style w:type="character" w:customStyle="1" w:styleId="ListLabel148">
    <w:name w:val="ListLabel 148"/>
    <w:qFormat/>
    <w:rsid w:val="00417DC7"/>
    <w:rPr>
      <w:rFonts w:ascii="Symbol" w:hAnsi="Symbol" w:cs="Symbol" w:hint="default"/>
      <w:lang w:val="uk-UA" w:eastAsia="en-US" w:bidi="ar-SA"/>
    </w:rPr>
  </w:style>
  <w:style w:type="character" w:customStyle="1" w:styleId="ListLabel149">
    <w:name w:val="ListLabel 149"/>
    <w:qFormat/>
    <w:rsid w:val="00417DC7"/>
    <w:rPr>
      <w:rFonts w:ascii="Symbol" w:hAnsi="Symbol" w:cs="Symbol" w:hint="default"/>
      <w:lang w:val="uk-UA" w:eastAsia="en-US" w:bidi="ar-SA"/>
    </w:rPr>
  </w:style>
  <w:style w:type="character" w:customStyle="1" w:styleId="ListLabel150">
    <w:name w:val="ListLabel 150"/>
    <w:qFormat/>
    <w:rsid w:val="00417DC7"/>
    <w:rPr>
      <w:rFonts w:ascii="Symbol" w:hAnsi="Symbol" w:cs="Symbol" w:hint="default"/>
      <w:lang w:val="uk-UA" w:eastAsia="en-US" w:bidi="ar-SA"/>
    </w:rPr>
  </w:style>
  <w:style w:type="character" w:customStyle="1" w:styleId="ListLabel151">
    <w:name w:val="ListLabel 151"/>
    <w:qFormat/>
    <w:rsid w:val="00417DC7"/>
    <w:rPr>
      <w:rFonts w:ascii="Symbol" w:hAnsi="Symbol" w:cs="Symbol" w:hint="default"/>
      <w:lang w:val="uk-UA" w:eastAsia="en-US" w:bidi="ar-SA"/>
    </w:rPr>
  </w:style>
  <w:style w:type="character" w:customStyle="1" w:styleId="ListLabel152">
    <w:name w:val="ListLabel 152"/>
    <w:qFormat/>
    <w:rsid w:val="00417DC7"/>
    <w:rPr>
      <w:rFonts w:ascii="Symbol" w:hAnsi="Symbol" w:cs="Symbol" w:hint="default"/>
      <w:lang w:val="uk-UA" w:eastAsia="en-US" w:bidi="ar-SA"/>
    </w:rPr>
  </w:style>
  <w:style w:type="character" w:customStyle="1" w:styleId="ListLabel153">
    <w:name w:val="ListLabel 153"/>
    <w:qFormat/>
    <w:rsid w:val="00417DC7"/>
    <w:rPr>
      <w:rFonts w:ascii="Symbol" w:hAnsi="Symbol" w:cs="Symbol" w:hint="default"/>
      <w:lang w:val="uk-UA" w:eastAsia="en-US" w:bidi="ar-SA"/>
    </w:rPr>
  </w:style>
  <w:style w:type="character" w:customStyle="1" w:styleId="ListLabel154">
    <w:name w:val="ListLabel 154"/>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155">
    <w:name w:val="ListLabel 155"/>
    <w:qFormat/>
    <w:rsid w:val="00417DC7"/>
    <w:rPr>
      <w:rFonts w:ascii="Symbol" w:hAnsi="Symbol" w:cs="Symbol" w:hint="default"/>
      <w:lang w:val="uk-UA" w:eastAsia="en-US" w:bidi="ar-SA"/>
    </w:rPr>
  </w:style>
  <w:style w:type="character" w:customStyle="1" w:styleId="ListLabel156">
    <w:name w:val="ListLabel 156"/>
    <w:qFormat/>
    <w:rsid w:val="00417DC7"/>
    <w:rPr>
      <w:rFonts w:ascii="Symbol" w:hAnsi="Symbol" w:cs="Symbol" w:hint="default"/>
      <w:lang w:val="uk-UA" w:eastAsia="en-US" w:bidi="ar-SA"/>
    </w:rPr>
  </w:style>
  <w:style w:type="character" w:customStyle="1" w:styleId="ListLabel157">
    <w:name w:val="ListLabel 157"/>
    <w:qFormat/>
    <w:rsid w:val="00417DC7"/>
    <w:rPr>
      <w:rFonts w:ascii="Symbol" w:hAnsi="Symbol" w:cs="Symbol" w:hint="default"/>
      <w:lang w:val="uk-UA" w:eastAsia="en-US" w:bidi="ar-SA"/>
    </w:rPr>
  </w:style>
  <w:style w:type="character" w:customStyle="1" w:styleId="ListLabel158">
    <w:name w:val="ListLabel 158"/>
    <w:qFormat/>
    <w:rsid w:val="00417DC7"/>
    <w:rPr>
      <w:rFonts w:ascii="Symbol" w:hAnsi="Symbol" w:cs="Symbol" w:hint="default"/>
      <w:lang w:val="uk-UA" w:eastAsia="en-US" w:bidi="ar-SA"/>
    </w:rPr>
  </w:style>
  <w:style w:type="character" w:customStyle="1" w:styleId="ListLabel159">
    <w:name w:val="ListLabel 159"/>
    <w:qFormat/>
    <w:rsid w:val="00417DC7"/>
    <w:rPr>
      <w:rFonts w:ascii="Symbol" w:hAnsi="Symbol" w:cs="Symbol" w:hint="default"/>
      <w:lang w:val="uk-UA" w:eastAsia="en-US" w:bidi="ar-SA"/>
    </w:rPr>
  </w:style>
  <w:style w:type="character" w:customStyle="1" w:styleId="ListLabel160">
    <w:name w:val="ListLabel 160"/>
    <w:qFormat/>
    <w:rsid w:val="00417DC7"/>
    <w:rPr>
      <w:rFonts w:ascii="Symbol" w:hAnsi="Symbol" w:cs="Symbol" w:hint="default"/>
      <w:lang w:val="uk-UA" w:eastAsia="en-US" w:bidi="ar-SA"/>
    </w:rPr>
  </w:style>
  <w:style w:type="character" w:customStyle="1" w:styleId="ListLabel161">
    <w:name w:val="ListLabel 161"/>
    <w:qFormat/>
    <w:rsid w:val="00417DC7"/>
    <w:rPr>
      <w:rFonts w:ascii="Symbol" w:hAnsi="Symbol" w:cs="Symbol" w:hint="default"/>
      <w:lang w:val="uk-UA" w:eastAsia="en-US" w:bidi="ar-SA"/>
    </w:rPr>
  </w:style>
  <w:style w:type="character" w:customStyle="1" w:styleId="ListLabel162">
    <w:name w:val="ListLabel 162"/>
    <w:qFormat/>
    <w:rsid w:val="00417DC7"/>
    <w:rPr>
      <w:rFonts w:ascii="Symbol" w:hAnsi="Symbol" w:cs="Symbol" w:hint="default"/>
      <w:lang w:val="uk-UA" w:eastAsia="en-US" w:bidi="ar-SA"/>
    </w:rPr>
  </w:style>
  <w:style w:type="character" w:customStyle="1" w:styleId="ListLabel163">
    <w:name w:val="ListLabel 163"/>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164">
    <w:name w:val="ListLabel 164"/>
    <w:qFormat/>
    <w:rsid w:val="00417DC7"/>
    <w:rPr>
      <w:rFonts w:ascii="Symbol" w:hAnsi="Symbol" w:cs="Symbol" w:hint="default"/>
      <w:lang w:val="uk-UA" w:eastAsia="en-US" w:bidi="ar-SA"/>
    </w:rPr>
  </w:style>
  <w:style w:type="character" w:customStyle="1" w:styleId="ListLabel165">
    <w:name w:val="ListLabel 165"/>
    <w:qFormat/>
    <w:rsid w:val="00417DC7"/>
    <w:rPr>
      <w:rFonts w:ascii="Symbol" w:hAnsi="Symbol" w:cs="Symbol" w:hint="default"/>
      <w:lang w:val="uk-UA" w:eastAsia="en-US" w:bidi="ar-SA"/>
    </w:rPr>
  </w:style>
  <w:style w:type="character" w:customStyle="1" w:styleId="ListLabel166">
    <w:name w:val="ListLabel 166"/>
    <w:qFormat/>
    <w:rsid w:val="00417DC7"/>
    <w:rPr>
      <w:rFonts w:ascii="Symbol" w:hAnsi="Symbol" w:cs="Symbol" w:hint="default"/>
      <w:lang w:val="uk-UA" w:eastAsia="en-US" w:bidi="ar-SA"/>
    </w:rPr>
  </w:style>
  <w:style w:type="character" w:customStyle="1" w:styleId="ListLabel167">
    <w:name w:val="ListLabel 167"/>
    <w:qFormat/>
    <w:rsid w:val="00417DC7"/>
    <w:rPr>
      <w:rFonts w:ascii="Symbol" w:hAnsi="Symbol" w:cs="Symbol" w:hint="default"/>
      <w:lang w:val="uk-UA" w:eastAsia="en-US" w:bidi="ar-SA"/>
    </w:rPr>
  </w:style>
  <w:style w:type="character" w:customStyle="1" w:styleId="ListLabel168">
    <w:name w:val="ListLabel 168"/>
    <w:qFormat/>
    <w:rsid w:val="00417DC7"/>
    <w:rPr>
      <w:rFonts w:ascii="Symbol" w:hAnsi="Symbol" w:cs="Symbol" w:hint="default"/>
      <w:lang w:val="uk-UA" w:eastAsia="en-US" w:bidi="ar-SA"/>
    </w:rPr>
  </w:style>
  <w:style w:type="character" w:customStyle="1" w:styleId="ListLabel169">
    <w:name w:val="ListLabel 169"/>
    <w:qFormat/>
    <w:rsid w:val="00417DC7"/>
    <w:rPr>
      <w:rFonts w:ascii="Symbol" w:hAnsi="Symbol" w:cs="Symbol" w:hint="default"/>
      <w:lang w:val="uk-UA" w:eastAsia="en-US" w:bidi="ar-SA"/>
    </w:rPr>
  </w:style>
  <w:style w:type="character" w:customStyle="1" w:styleId="ListLabel170">
    <w:name w:val="ListLabel 170"/>
    <w:qFormat/>
    <w:rsid w:val="00417DC7"/>
    <w:rPr>
      <w:rFonts w:ascii="Symbol" w:hAnsi="Symbol" w:cs="Symbol" w:hint="default"/>
      <w:lang w:val="uk-UA" w:eastAsia="en-US" w:bidi="ar-SA"/>
    </w:rPr>
  </w:style>
  <w:style w:type="character" w:customStyle="1" w:styleId="ListLabel171">
    <w:name w:val="ListLabel 171"/>
    <w:qFormat/>
    <w:rsid w:val="00417DC7"/>
    <w:rPr>
      <w:rFonts w:ascii="Symbol" w:hAnsi="Symbol" w:cs="Symbol" w:hint="default"/>
      <w:lang w:val="uk-UA" w:eastAsia="en-US" w:bidi="ar-SA"/>
    </w:rPr>
  </w:style>
  <w:style w:type="character" w:customStyle="1" w:styleId="ListLabel172">
    <w:name w:val="ListLabel 172"/>
    <w:qFormat/>
    <w:rsid w:val="00417DC7"/>
    <w:rPr>
      <w:rFonts w:ascii="Times New Roman" w:eastAsia="Times New Roman" w:hAnsi="Times New Roman" w:cs="Times New Roman" w:hint="default"/>
      <w:i/>
      <w:iCs w:val="0"/>
      <w:spacing w:val="-3"/>
      <w:w w:val="100"/>
      <w:sz w:val="24"/>
      <w:szCs w:val="24"/>
      <w:lang w:val="uk-UA" w:eastAsia="en-US" w:bidi="ar-SA"/>
    </w:rPr>
  </w:style>
  <w:style w:type="character" w:customStyle="1" w:styleId="ListLabel173">
    <w:name w:val="ListLabel 173"/>
    <w:qFormat/>
    <w:rsid w:val="00417DC7"/>
    <w:rPr>
      <w:rFonts w:ascii="Symbol" w:hAnsi="Symbol" w:cs="Symbol" w:hint="default"/>
      <w:lang w:val="uk-UA" w:eastAsia="en-US" w:bidi="ar-SA"/>
    </w:rPr>
  </w:style>
  <w:style w:type="character" w:customStyle="1" w:styleId="ListLabel174">
    <w:name w:val="ListLabel 174"/>
    <w:qFormat/>
    <w:rsid w:val="00417DC7"/>
    <w:rPr>
      <w:rFonts w:ascii="Symbol" w:hAnsi="Symbol" w:cs="Symbol" w:hint="default"/>
      <w:lang w:val="uk-UA" w:eastAsia="en-US" w:bidi="ar-SA"/>
    </w:rPr>
  </w:style>
  <w:style w:type="character" w:customStyle="1" w:styleId="ListLabel175">
    <w:name w:val="ListLabel 175"/>
    <w:qFormat/>
    <w:rsid w:val="00417DC7"/>
    <w:rPr>
      <w:rFonts w:ascii="Symbol" w:hAnsi="Symbol" w:cs="Symbol" w:hint="default"/>
      <w:lang w:val="uk-UA" w:eastAsia="en-US" w:bidi="ar-SA"/>
    </w:rPr>
  </w:style>
  <w:style w:type="character" w:customStyle="1" w:styleId="ListLabel176">
    <w:name w:val="ListLabel 176"/>
    <w:qFormat/>
    <w:rsid w:val="00417DC7"/>
    <w:rPr>
      <w:rFonts w:ascii="Symbol" w:hAnsi="Symbol" w:cs="Symbol" w:hint="default"/>
      <w:lang w:val="uk-UA" w:eastAsia="en-US" w:bidi="ar-SA"/>
    </w:rPr>
  </w:style>
  <w:style w:type="character" w:customStyle="1" w:styleId="ListLabel177">
    <w:name w:val="ListLabel 177"/>
    <w:qFormat/>
    <w:rsid w:val="00417DC7"/>
    <w:rPr>
      <w:rFonts w:ascii="Symbol" w:hAnsi="Symbol" w:cs="Symbol" w:hint="default"/>
      <w:lang w:val="uk-UA" w:eastAsia="en-US" w:bidi="ar-SA"/>
    </w:rPr>
  </w:style>
  <w:style w:type="character" w:customStyle="1" w:styleId="ListLabel178">
    <w:name w:val="ListLabel 178"/>
    <w:qFormat/>
    <w:rsid w:val="00417DC7"/>
    <w:rPr>
      <w:rFonts w:ascii="Symbol" w:hAnsi="Symbol" w:cs="Symbol" w:hint="default"/>
      <w:lang w:val="uk-UA" w:eastAsia="en-US" w:bidi="ar-SA"/>
    </w:rPr>
  </w:style>
  <w:style w:type="character" w:customStyle="1" w:styleId="ListLabel179">
    <w:name w:val="ListLabel 179"/>
    <w:qFormat/>
    <w:rsid w:val="00417DC7"/>
    <w:rPr>
      <w:rFonts w:ascii="Symbol" w:hAnsi="Symbol" w:cs="Symbol" w:hint="default"/>
      <w:lang w:val="uk-UA" w:eastAsia="en-US" w:bidi="ar-SA"/>
    </w:rPr>
  </w:style>
  <w:style w:type="character" w:customStyle="1" w:styleId="ListLabel180">
    <w:name w:val="ListLabel 180"/>
    <w:qFormat/>
    <w:rsid w:val="00417DC7"/>
    <w:rPr>
      <w:rFonts w:ascii="Symbol" w:hAnsi="Symbol" w:cs="Symbol" w:hint="default"/>
      <w:lang w:val="uk-UA" w:eastAsia="en-US" w:bidi="ar-SA"/>
    </w:rPr>
  </w:style>
  <w:style w:type="character" w:customStyle="1" w:styleId="ListLabel181">
    <w:name w:val="ListLabel 181"/>
    <w:qFormat/>
    <w:rsid w:val="00417DC7"/>
    <w:rPr>
      <w:rFonts w:ascii="Times New Roman" w:eastAsia="Times New Roman" w:hAnsi="Times New Roman" w:cs="Times New Roman" w:hint="default"/>
      <w:i/>
      <w:iCs w:val="0"/>
      <w:spacing w:val="-2"/>
      <w:w w:val="100"/>
      <w:sz w:val="24"/>
      <w:szCs w:val="24"/>
      <w:lang w:val="uk-UA" w:eastAsia="en-US" w:bidi="ar-SA"/>
    </w:rPr>
  </w:style>
  <w:style w:type="character" w:customStyle="1" w:styleId="ListLabel182">
    <w:name w:val="ListLabel 182"/>
    <w:qFormat/>
    <w:rsid w:val="00417DC7"/>
    <w:rPr>
      <w:rFonts w:ascii="Symbol" w:hAnsi="Symbol" w:cs="Symbol" w:hint="default"/>
      <w:lang w:val="uk-UA" w:eastAsia="en-US" w:bidi="ar-SA"/>
    </w:rPr>
  </w:style>
  <w:style w:type="character" w:customStyle="1" w:styleId="ListLabel183">
    <w:name w:val="ListLabel 183"/>
    <w:qFormat/>
    <w:rsid w:val="00417DC7"/>
    <w:rPr>
      <w:rFonts w:ascii="Symbol" w:hAnsi="Symbol" w:cs="Symbol" w:hint="default"/>
      <w:lang w:val="uk-UA" w:eastAsia="en-US" w:bidi="ar-SA"/>
    </w:rPr>
  </w:style>
  <w:style w:type="character" w:customStyle="1" w:styleId="ListLabel184">
    <w:name w:val="ListLabel 184"/>
    <w:qFormat/>
    <w:rsid w:val="00417DC7"/>
    <w:rPr>
      <w:rFonts w:ascii="Symbol" w:hAnsi="Symbol" w:cs="Symbol" w:hint="default"/>
      <w:lang w:val="uk-UA" w:eastAsia="en-US" w:bidi="ar-SA"/>
    </w:rPr>
  </w:style>
  <w:style w:type="character" w:customStyle="1" w:styleId="ListLabel185">
    <w:name w:val="ListLabel 185"/>
    <w:qFormat/>
    <w:rsid w:val="00417DC7"/>
    <w:rPr>
      <w:rFonts w:ascii="Symbol" w:hAnsi="Symbol" w:cs="Symbol" w:hint="default"/>
      <w:lang w:val="uk-UA" w:eastAsia="en-US" w:bidi="ar-SA"/>
    </w:rPr>
  </w:style>
  <w:style w:type="character" w:customStyle="1" w:styleId="ListLabel186">
    <w:name w:val="ListLabel 186"/>
    <w:qFormat/>
    <w:rsid w:val="00417DC7"/>
    <w:rPr>
      <w:rFonts w:ascii="Symbol" w:hAnsi="Symbol" w:cs="Symbol" w:hint="default"/>
      <w:lang w:val="uk-UA" w:eastAsia="en-US" w:bidi="ar-SA"/>
    </w:rPr>
  </w:style>
  <w:style w:type="character" w:customStyle="1" w:styleId="ListLabel187">
    <w:name w:val="ListLabel 187"/>
    <w:qFormat/>
    <w:rsid w:val="00417DC7"/>
    <w:rPr>
      <w:rFonts w:ascii="Symbol" w:hAnsi="Symbol" w:cs="Symbol" w:hint="default"/>
      <w:lang w:val="uk-UA" w:eastAsia="en-US" w:bidi="ar-SA"/>
    </w:rPr>
  </w:style>
  <w:style w:type="character" w:customStyle="1" w:styleId="ListLabel188">
    <w:name w:val="ListLabel 188"/>
    <w:qFormat/>
    <w:rsid w:val="00417DC7"/>
    <w:rPr>
      <w:rFonts w:ascii="Symbol" w:hAnsi="Symbol" w:cs="Symbol" w:hint="default"/>
      <w:lang w:val="uk-UA" w:eastAsia="en-US" w:bidi="ar-SA"/>
    </w:rPr>
  </w:style>
  <w:style w:type="character" w:customStyle="1" w:styleId="ListLabel189">
    <w:name w:val="ListLabel 189"/>
    <w:qFormat/>
    <w:rsid w:val="00417DC7"/>
    <w:rPr>
      <w:rFonts w:ascii="Symbol" w:hAnsi="Symbol" w:cs="Symbol" w:hint="default"/>
      <w:lang w:val="uk-UA" w:eastAsia="en-US" w:bidi="ar-SA"/>
    </w:rPr>
  </w:style>
  <w:style w:type="character" w:customStyle="1" w:styleId="ListLabel190">
    <w:name w:val="ListLabel 190"/>
    <w:qFormat/>
    <w:rsid w:val="00417DC7"/>
    <w:rPr>
      <w:rFonts w:ascii="Times New Roman" w:hAnsi="Times New Roman" w:cs="Times New Roman" w:hint="default"/>
      <w:w w:val="100"/>
      <w:sz w:val="28"/>
      <w:szCs w:val="28"/>
      <w:lang w:val="uk-UA" w:eastAsia="en-US" w:bidi="ar-SA"/>
    </w:rPr>
  </w:style>
  <w:style w:type="character" w:customStyle="1" w:styleId="ListLabel191">
    <w:name w:val="ListLabel 191"/>
    <w:qFormat/>
    <w:rsid w:val="00417DC7"/>
    <w:rPr>
      <w:rFonts w:ascii="Symbol" w:hAnsi="Symbol" w:cs="Symbol" w:hint="default"/>
      <w:lang w:val="uk-UA" w:eastAsia="en-US" w:bidi="ar-SA"/>
    </w:rPr>
  </w:style>
  <w:style w:type="character" w:customStyle="1" w:styleId="ListLabel192">
    <w:name w:val="ListLabel 192"/>
    <w:qFormat/>
    <w:rsid w:val="00417DC7"/>
    <w:rPr>
      <w:rFonts w:ascii="Symbol" w:hAnsi="Symbol" w:cs="Symbol" w:hint="default"/>
      <w:lang w:val="uk-UA" w:eastAsia="en-US" w:bidi="ar-SA"/>
    </w:rPr>
  </w:style>
  <w:style w:type="character" w:customStyle="1" w:styleId="ListLabel193">
    <w:name w:val="ListLabel 193"/>
    <w:qFormat/>
    <w:rsid w:val="00417DC7"/>
    <w:rPr>
      <w:rFonts w:ascii="Symbol" w:hAnsi="Symbol" w:cs="Symbol" w:hint="default"/>
      <w:lang w:val="uk-UA" w:eastAsia="en-US" w:bidi="ar-SA"/>
    </w:rPr>
  </w:style>
  <w:style w:type="character" w:customStyle="1" w:styleId="ListLabel194">
    <w:name w:val="ListLabel 194"/>
    <w:qFormat/>
    <w:rsid w:val="00417DC7"/>
    <w:rPr>
      <w:rFonts w:ascii="Symbol" w:hAnsi="Symbol" w:cs="Symbol" w:hint="default"/>
      <w:lang w:val="uk-UA" w:eastAsia="en-US" w:bidi="ar-SA"/>
    </w:rPr>
  </w:style>
  <w:style w:type="character" w:customStyle="1" w:styleId="ListLabel195">
    <w:name w:val="ListLabel 195"/>
    <w:qFormat/>
    <w:rsid w:val="00417DC7"/>
    <w:rPr>
      <w:rFonts w:ascii="Symbol" w:hAnsi="Symbol" w:cs="Symbol" w:hint="default"/>
      <w:lang w:val="uk-UA" w:eastAsia="en-US" w:bidi="ar-SA"/>
    </w:rPr>
  </w:style>
  <w:style w:type="character" w:customStyle="1" w:styleId="ListLabel196">
    <w:name w:val="ListLabel 196"/>
    <w:qFormat/>
    <w:rsid w:val="00417DC7"/>
    <w:rPr>
      <w:rFonts w:ascii="Symbol" w:hAnsi="Symbol" w:cs="Symbol" w:hint="default"/>
      <w:lang w:val="uk-UA" w:eastAsia="en-US" w:bidi="ar-SA"/>
    </w:rPr>
  </w:style>
  <w:style w:type="character" w:customStyle="1" w:styleId="ListLabel197">
    <w:name w:val="ListLabel 197"/>
    <w:qFormat/>
    <w:rsid w:val="00417DC7"/>
    <w:rPr>
      <w:rFonts w:ascii="Symbol" w:hAnsi="Symbol" w:cs="Symbol" w:hint="default"/>
      <w:lang w:val="uk-UA" w:eastAsia="en-US" w:bidi="ar-SA"/>
    </w:rPr>
  </w:style>
  <w:style w:type="character" w:customStyle="1" w:styleId="ListLabel198">
    <w:name w:val="ListLabel 198"/>
    <w:qFormat/>
    <w:rsid w:val="00417DC7"/>
    <w:rPr>
      <w:rFonts w:ascii="Symbol" w:hAnsi="Symbol" w:cs="Symbol" w:hint="default"/>
      <w:lang w:val="uk-UA" w:eastAsia="en-US" w:bidi="ar-SA"/>
    </w:rPr>
  </w:style>
  <w:style w:type="character" w:customStyle="1" w:styleId="ListLabel199">
    <w:name w:val="ListLabel 199"/>
    <w:qFormat/>
    <w:rsid w:val="00417DC7"/>
    <w:rPr>
      <w:rFonts w:ascii="Times New Roman" w:eastAsia="Times New Roman" w:hAnsi="Times New Roman" w:cs="Times New Roman" w:hint="default"/>
      <w:w w:val="100"/>
      <w:sz w:val="28"/>
      <w:szCs w:val="28"/>
      <w:lang w:val="uk-UA" w:eastAsia="en-US" w:bidi="ar-SA"/>
    </w:rPr>
  </w:style>
  <w:style w:type="character" w:customStyle="1" w:styleId="ListLabel200">
    <w:name w:val="ListLabel 200"/>
    <w:qFormat/>
    <w:rsid w:val="00417DC7"/>
    <w:rPr>
      <w:rFonts w:ascii="Times New Roman" w:eastAsia="Times New Roman" w:hAnsi="Times New Roman" w:cs="Times New Roman" w:hint="default"/>
      <w:i/>
      <w:iCs w:val="0"/>
      <w:spacing w:val="0"/>
      <w:w w:val="100"/>
      <w:sz w:val="24"/>
      <w:szCs w:val="24"/>
      <w:lang w:val="uk-UA" w:eastAsia="en-US" w:bidi="ar-SA"/>
    </w:rPr>
  </w:style>
  <w:style w:type="character" w:customStyle="1" w:styleId="ListLabel201">
    <w:name w:val="ListLabel 201"/>
    <w:qFormat/>
    <w:rsid w:val="00417DC7"/>
    <w:rPr>
      <w:rFonts w:ascii="Symbol" w:hAnsi="Symbol" w:cs="Symbol" w:hint="default"/>
      <w:lang w:val="uk-UA" w:eastAsia="en-US" w:bidi="ar-SA"/>
    </w:rPr>
  </w:style>
  <w:style w:type="character" w:customStyle="1" w:styleId="ListLabel202">
    <w:name w:val="ListLabel 202"/>
    <w:qFormat/>
    <w:rsid w:val="00417DC7"/>
    <w:rPr>
      <w:rFonts w:ascii="Symbol" w:hAnsi="Symbol" w:cs="Symbol" w:hint="default"/>
      <w:lang w:val="uk-UA" w:eastAsia="en-US" w:bidi="ar-SA"/>
    </w:rPr>
  </w:style>
  <w:style w:type="character" w:customStyle="1" w:styleId="ListLabel203">
    <w:name w:val="ListLabel 203"/>
    <w:qFormat/>
    <w:rsid w:val="00417DC7"/>
    <w:rPr>
      <w:rFonts w:ascii="Symbol" w:hAnsi="Symbol" w:cs="Symbol" w:hint="default"/>
      <w:lang w:val="uk-UA" w:eastAsia="en-US" w:bidi="ar-SA"/>
    </w:rPr>
  </w:style>
  <w:style w:type="character" w:customStyle="1" w:styleId="ListLabel204">
    <w:name w:val="ListLabel 204"/>
    <w:qFormat/>
    <w:rsid w:val="00417DC7"/>
    <w:rPr>
      <w:rFonts w:ascii="Symbol" w:hAnsi="Symbol" w:cs="Symbol" w:hint="default"/>
      <w:lang w:val="uk-UA" w:eastAsia="en-US" w:bidi="ar-SA"/>
    </w:rPr>
  </w:style>
  <w:style w:type="character" w:customStyle="1" w:styleId="ListLabel205">
    <w:name w:val="ListLabel 205"/>
    <w:qFormat/>
    <w:rsid w:val="00417DC7"/>
    <w:rPr>
      <w:rFonts w:ascii="Symbol" w:hAnsi="Symbol" w:cs="Symbol" w:hint="default"/>
      <w:lang w:val="uk-UA" w:eastAsia="en-US" w:bidi="ar-SA"/>
    </w:rPr>
  </w:style>
  <w:style w:type="character" w:customStyle="1" w:styleId="ListLabel206">
    <w:name w:val="ListLabel 206"/>
    <w:qFormat/>
    <w:rsid w:val="00417DC7"/>
    <w:rPr>
      <w:rFonts w:ascii="Symbol" w:hAnsi="Symbol" w:cs="Symbol" w:hint="default"/>
      <w:lang w:val="uk-UA" w:eastAsia="en-US" w:bidi="ar-SA"/>
    </w:rPr>
  </w:style>
  <w:style w:type="character" w:customStyle="1" w:styleId="ListLabel207">
    <w:name w:val="ListLabel 207"/>
    <w:qFormat/>
    <w:rsid w:val="00417DC7"/>
    <w:rPr>
      <w:rFonts w:ascii="Symbol" w:hAnsi="Symbol" w:cs="Symbol" w:hint="default"/>
      <w:lang w:val="uk-UA" w:eastAsia="en-US" w:bidi="ar-SA"/>
    </w:rPr>
  </w:style>
  <w:style w:type="character" w:customStyle="1" w:styleId="Default20Paragraph20Font">
    <w:name w:val="Default_20_Paragraph_20_Font"/>
    <w:qFormat/>
    <w:rsid w:val="00417DC7"/>
  </w:style>
  <w:style w:type="character" w:customStyle="1" w:styleId="ListLabel208">
    <w:name w:val="ListLabel 208"/>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09">
    <w:name w:val="ListLabel 209"/>
    <w:qFormat/>
    <w:rsid w:val="00417DC7"/>
    <w:rPr>
      <w:rFonts w:ascii="Symbol" w:hAnsi="Symbol" w:cs="Symbol" w:hint="default"/>
      <w:lang w:val="uk-UA" w:eastAsia="en-US" w:bidi="ar-SA"/>
    </w:rPr>
  </w:style>
  <w:style w:type="character" w:customStyle="1" w:styleId="ListLabel210">
    <w:name w:val="ListLabel 210"/>
    <w:qFormat/>
    <w:rsid w:val="00417DC7"/>
    <w:rPr>
      <w:rFonts w:ascii="Symbol" w:hAnsi="Symbol" w:cs="Symbol" w:hint="default"/>
      <w:lang w:val="uk-UA" w:eastAsia="en-US" w:bidi="ar-SA"/>
    </w:rPr>
  </w:style>
  <w:style w:type="character" w:customStyle="1" w:styleId="ListLabel211">
    <w:name w:val="ListLabel 211"/>
    <w:qFormat/>
    <w:rsid w:val="00417DC7"/>
    <w:rPr>
      <w:rFonts w:ascii="Symbol" w:hAnsi="Symbol" w:cs="Symbol" w:hint="default"/>
      <w:lang w:val="uk-UA" w:eastAsia="en-US" w:bidi="ar-SA"/>
    </w:rPr>
  </w:style>
  <w:style w:type="character" w:customStyle="1" w:styleId="ListLabel212">
    <w:name w:val="ListLabel 212"/>
    <w:qFormat/>
    <w:rsid w:val="00417DC7"/>
    <w:rPr>
      <w:rFonts w:ascii="Symbol" w:hAnsi="Symbol" w:cs="Symbol" w:hint="default"/>
      <w:lang w:val="uk-UA" w:eastAsia="en-US" w:bidi="ar-SA"/>
    </w:rPr>
  </w:style>
  <w:style w:type="character" w:customStyle="1" w:styleId="ListLabel213">
    <w:name w:val="ListLabel 213"/>
    <w:qFormat/>
    <w:rsid w:val="00417DC7"/>
    <w:rPr>
      <w:rFonts w:ascii="Symbol" w:hAnsi="Symbol" w:cs="Symbol" w:hint="default"/>
      <w:lang w:val="uk-UA" w:eastAsia="en-US" w:bidi="ar-SA"/>
    </w:rPr>
  </w:style>
  <w:style w:type="character" w:customStyle="1" w:styleId="ListLabel214">
    <w:name w:val="ListLabel 214"/>
    <w:qFormat/>
    <w:rsid w:val="00417DC7"/>
    <w:rPr>
      <w:rFonts w:ascii="Symbol" w:hAnsi="Symbol" w:cs="Symbol" w:hint="default"/>
      <w:lang w:val="uk-UA" w:eastAsia="en-US" w:bidi="ar-SA"/>
    </w:rPr>
  </w:style>
  <w:style w:type="character" w:customStyle="1" w:styleId="ListLabel215">
    <w:name w:val="ListLabel 215"/>
    <w:qFormat/>
    <w:rsid w:val="00417DC7"/>
    <w:rPr>
      <w:rFonts w:ascii="Symbol" w:hAnsi="Symbol" w:cs="Symbol" w:hint="default"/>
      <w:lang w:val="uk-UA" w:eastAsia="en-US" w:bidi="ar-SA"/>
    </w:rPr>
  </w:style>
  <w:style w:type="character" w:customStyle="1" w:styleId="ListLabel216">
    <w:name w:val="ListLabel 216"/>
    <w:qFormat/>
    <w:rsid w:val="00417DC7"/>
    <w:rPr>
      <w:rFonts w:ascii="Symbol" w:hAnsi="Symbol" w:cs="Symbol" w:hint="default"/>
      <w:lang w:val="uk-UA" w:eastAsia="en-US" w:bidi="ar-SA"/>
    </w:rPr>
  </w:style>
  <w:style w:type="character" w:customStyle="1" w:styleId="ListLabel217">
    <w:name w:val="ListLabel 217"/>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18">
    <w:name w:val="ListLabel 218"/>
    <w:qFormat/>
    <w:rsid w:val="00417DC7"/>
    <w:rPr>
      <w:rFonts w:ascii="Symbol" w:hAnsi="Symbol" w:cs="Symbol" w:hint="default"/>
      <w:lang w:val="uk-UA" w:eastAsia="en-US" w:bidi="ar-SA"/>
    </w:rPr>
  </w:style>
  <w:style w:type="character" w:customStyle="1" w:styleId="ListLabel219">
    <w:name w:val="ListLabel 219"/>
    <w:qFormat/>
    <w:rsid w:val="00417DC7"/>
    <w:rPr>
      <w:rFonts w:ascii="Symbol" w:hAnsi="Symbol" w:cs="Symbol" w:hint="default"/>
      <w:lang w:val="uk-UA" w:eastAsia="en-US" w:bidi="ar-SA"/>
    </w:rPr>
  </w:style>
  <w:style w:type="character" w:customStyle="1" w:styleId="ListLabel220">
    <w:name w:val="ListLabel 220"/>
    <w:qFormat/>
    <w:rsid w:val="00417DC7"/>
    <w:rPr>
      <w:rFonts w:ascii="Symbol" w:hAnsi="Symbol" w:cs="Symbol" w:hint="default"/>
      <w:lang w:val="uk-UA" w:eastAsia="en-US" w:bidi="ar-SA"/>
    </w:rPr>
  </w:style>
  <w:style w:type="character" w:customStyle="1" w:styleId="ListLabel221">
    <w:name w:val="ListLabel 221"/>
    <w:qFormat/>
    <w:rsid w:val="00417DC7"/>
    <w:rPr>
      <w:rFonts w:ascii="Symbol" w:hAnsi="Symbol" w:cs="Symbol" w:hint="default"/>
      <w:lang w:val="uk-UA" w:eastAsia="en-US" w:bidi="ar-SA"/>
    </w:rPr>
  </w:style>
  <w:style w:type="character" w:customStyle="1" w:styleId="ListLabel222">
    <w:name w:val="ListLabel 222"/>
    <w:qFormat/>
    <w:rsid w:val="00417DC7"/>
    <w:rPr>
      <w:rFonts w:ascii="Symbol" w:hAnsi="Symbol" w:cs="Symbol" w:hint="default"/>
      <w:lang w:val="uk-UA" w:eastAsia="en-US" w:bidi="ar-SA"/>
    </w:rPr>
  </w:style>
  <w:style w:type="character" w:customStyle="1" w:styleId="ListLabel223">
    <w:name w:val="ListLabel 223"/>
    <w:qFormat/>
    <w:rsid w:val="00417DC7"/>
    <w:rPr>
      <w:rFonts w:ascii="Symbol" w:hAnsi="Symbol" w:cs="Symbol" w:hint="default"/>
      <w:lang w:val="uk-UA" w:eastAsia="en-US" w:bidi="ar-SA"/>
    </w:rPr>
  </w:style>
  <w:style w:type="character" w:customStyle="1" w:styleId="ListLabel224">
    <w:name w:val="ListLabel 224"/>
    <w:qFormat/>
    <w:rsid w:val="00417DC7"/>
    <w:rPr>
      <w:rFonts w:ascii="Symbol" w:hAnsi="Symbol" w:cs="Symbol" w:hint="default"/>
      <w:lang w:val="uk-UA" w:eastAsia="en-US" w:bidi="ar-SA"/>
    </w:rPr>
  </w:style>
  <w:style w:type="character" w:customStyle="1" w:styleId="ListLabel225">
    <w:name w:val="ListLabel 225"/>
    <w:qFormat/>
    <w:rsid w:val="00417DC7"/>
    <w:rPr>
      <w:rFonts w:ascii="Symbol" w:hAnsi="Symbol" w:cs="Symbol" w:hint="default"/>
      <w:lang w:val="uk-UA" w:eastAsia="en-US" w:bidi="ar-SA"/>
    </w:rPr>
  </w:style>
  <w:style w:type="character" w:customStyle="1" w:styleId="ListLabel226">
    <w:name w:val="ListLabel 226"/>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27">
    <w:name w:val="ListLabel 227"/>
    <w:qFormat/>
    <w:rsid w:val="00417DC7"/>
    <w:rPr>
      <w:rFonts w:ascii="Symbol" w:hAnsi="Symbol" w:cs="Symbol" w:hint="default"/>
      <w:lang w:val="uk-UA" w:eastAsia="en-US" w:bidi="ar-SA"/>
    </w:rPr>
  </w:style>
  <w:style w:type="character" w:customStyle="1" w:styleId="ListLabel228">
    <w:name w:val="ListLabel 228"/>
    <w:qFormat/>
    <w:rsid w:val="00417DC7"/>
    <w:rPr>
      <w:rFonts w:ascii="Symbol" w:hAnsi="Symbol" w:cs="Symbol" w:hint="default"/>
      <w:lang w:val="uk-UA" w:eastAsia="en-US" w:bidi="ar-SA"/>
    </w:rPr>
  </w:style>
  <w:style w:type="character" w:customStyle="1" w:styleId="ListLabel229">
    <w:name w:val="ListLabel 229"/>
    <w:qFormat/>
    <w:rsid w:val="00417DC7"/>
    <w:rPr>
      <w:rFonts w:ascii="Symbol" w:hAnsi="Symbol" w:cs="Symbol" w:hint="default"/>
      <w:lang w:val="uk-UA" w:eastAsia="en-US" w:bidi="ar-SA"/>
    </w:rPr>
  </w:style>
  <w:style w:type="character" w:customStyle="1" w:styleId="ListLabel230">
    <w:name w:val="ListLabel 230"/>
    <w:qFormat/>
    <w:rsid w:val="00417DC7"/>
    <w:rPr>
      <w:rFonts w:ascii="Symbol" w:hAnsi="Symbol" w:cs="Symbol" w:hint="default"/>
      <w:lang w:val="uk-UA" w:eastAsia="en-US" w:bidi="ar-SA"/>
    </w:rPr>
  </w:style>
  <w:style w:type="character" w:customStyle="1" w:styleId="ListLabel231">
    <w:name w:val="ListLabel 231"/>
    <w:qFormat/>
    <w:rsid w:val="00417DC7"/>
    <w:rPr>
      <w:rFonts w:ascii="Symbol" w:hAnsi="Symbol" w:cs="Symbol" w:hint="default"/>
      <w:lang w:val="uk-UA" w:eastAsia="en-US" w:bidi="ar-SA"/>
    </w:rPr>
  </w:style>
  <w:style w:type="character" w:customStyle="1" w:styleId="ListLabel232">
    <w:name w:val="ListLabel 232"/>
    <w:qFormat/>
    <w:rsid w:val="00417DC7"/>
    <w:rPr>
      <w:rFonts w:ascii="Symbol" w:hAnsi="Symbol" w:cs="Symbol" w:hint="default"/>
      <w:lang w:val="uk-UA" w:eastAsia="en-US" w:bidi="ar-SA"/>
    </w:rPr>
  </w:style>
  <w:style w:type="character" w:customStyle="1" w:styleId="ListLabel233">
    <w:name w:val="ListLabel 233"/>
    <w:qFormat/>
    <w:rsid w:val="00417DC7"/>
    <w:rPr>
      <w:rFonts w:ascii="Symbol" w:hAnsi="Symbol" w:cs="Symbol" w:hint="default"/>
      <w:lang w:val="uk-UA" w:eastAsia="en-US" w:bidi="ar-SA"/>
    </w:rPr>
  </w:style>
  <w:style w:type="character" w:customStyle="1" w:styleId="ListLabel234">
    <w:name w:val="ListLabel 234"/>
    <w:qFormat/>
    <w:rsid w:val="00417DC7"/>
    <w:rPr>
      <w:rFonts w:ascii="Symbol" w:hAnsi="Symbol" w:cs="Symbol" w:hint="default"/>
      <w:lang w:val="uk-UA" w:eastAsia="en-US" w:bidi="ar-SA"/>
    </w:rPr>
  </w:style>
  <w:style w:type="character" w:customStyle="1" w:styleId="ListLabel235">
    <w:name w:val="ListLabel 235"/>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36">
    <w:name w:val="ListLabel 236"/>
    <w:qFormat/>
    <w:rsid w:val="00417DC7"/>
    <w:rPr>
      <w:rFonts w:ascii="Symbol" w:hAnsi="Symbol" w:cs="Symbol" w:hint="default"/>
      <w:lang w:val="uk-UA" w:eastAsia="en-US" w:bidi="ar-SA"/>
    </w:rPr>
  </w:style>
  <w:style w:type="character" w:customStyle="1" w:styleId="ListLabel237">
    <w:name w:val="ListLabel 237"/>
    <w:qFormat/>
    <w:rsid w:val="00417DC7"/>
    <w:rPr>
      <w:rFonts w:ascii="Symbol" w:hAnsi="Symbol" w:cs="Symbol" w:hint="default"/>
      <w:lang w:val="uk-UA" w:eastAsia="en-US" w:bidi="ar-SA"/>
    </w:rPr>
  </w:style>
  <w:style w:type="character" w:customStyle="1" w:styleId="ListLabel238">
    <w:name w:val="ListLabel 238"/>
    <w:qFormat/>
    <w:rsid w:val="00417DC7"/>
    <w:rPr>
      <w:rFonts w:ascii="Symbol" w:hAnsi="Symbol" w:cs="Symbol" w:hint="default"/>
      <w:lang w:val="uk-UA" w:eastAsia="en-US" w:bidi="ar-SA"/>
    </w:rPr>
  </w:style>
  <w:style w:type="character" w:customStyle="1" w:styleId="ListLabel239">
    <w:name w:val="ListLabel 239"/>
    <w:qFormat/>
    <w:rsid w:val="00417DC7"/>
    <w:rPr>
      <w:rFonts w:ascii="Symbol" w:hAnsi="Symbol" w:cs="Symbol" w:hint="default"/>
      <w:lang w:val="uk-UA" w:eastAsia="en-US" w:bidi="ar-SA"/>
    </w:rPr>
  </w:style>
  <w:style w:type="character" w:customStyle="1" w:styleId="ListLabel240">
    <w:name w:val="ListLabel 240"/>
    <w:qFormat/>
    <w:rsid w:val="00417DC7"/>
    <w:rPr>
      <w:rFonts w:ascii="Symbol" w:hAnsi="Symbol" w:cs="Symbol" w:hint="default"/>
      <w:lang w:val="uk-UA" w:eastAsia="en-US" w:bidi="ar-SA"/>
    </w:rPr>
  </w:style>
  <w:style w:type="character" w:customStyle="1" w:styleId="ListLabel241">
    <w:name w:val="ListLabel 241"/>
    <w:qFormat/>
    <w:rsid w:val="00417DC7"/>
    <w:rPr>
      <w:rFonts w:ascii="Symbol" w:hAnsi="Symbol" w:cs="Symbol" w:hint="default"/>
      <w:lang w:val="uk-UA" w:eastAsia="en-US" w:bidi="ar-SA"/>
    </w:rPr>
  </w:style>
  <w:style w:type="character" w:customStyle="1" w:styleId="ListLabel242">
    <w:name w:val="ListLabel 242"/>
    <w:qFormat/>
    <w:rsid w:val="00417DC7"/>
    <w:rPr>
      <w:rFonts w:ascii="Symbol" w:hAnsi="Symbol" w:cs="Symbol" w:hint="default"/>
      <w:lang w:val="uk-UA" w:eastAsia="en-US" w:bidi="ar-SA"/>
    </w:rPr>
  </w:style>
  <w:style w:type="character" w:customStyle="1" w:styleId="ListLabel243">
    <w:name w:val="ListLabel 243"/>
    <w:qFormat/>
    <w:rsid w:val="00417DC7"/>
    <w:rPr>
      <w:rFonts w:ascii="Symbol" w:hAnsi="Symbol" w:cs="Symbol" w:hint="default"/>
      <w:lang w:val="uk-UA" w:eastAsia="en-US" w:bidi="ar-SA"/>
    </w:rPr>
  </w:style>
  <w:style w:type="character" w:customStyle="1" w:styleId="ListLabel244">
    <w:name w:val="ListLabel 244"/>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45">
    <w:name w:val="ListLabel 245"/>
    <w:qFormat/>
    <w:rsid w:val="00417DC7"/>
    <w:rPr>
      <w:rFonts w:ascii="Symbol" w:hAnsi="Symbol" w:cs="Symbol" w:hint="default"/>
      <w:lang w:val="uk-UA" w:eastAsia="en-US" w:bidi="ar-SA"/>
    </w:rPr>
  </w:style>
  <w:style w:type="character" w:customStyle="1" w:styleId="ListLabel246">
    <w:name w:val="ListLabel 246"/>
    <w:qFormat/>
    <w:rsid w:val="00417DC7"/>
    <w:rPr>
      <w:rFonts w:ascii="Symbol" w:hAnsi="Symbol" w:cs="Symbol" w:hint="default"/>
      <w:lang w:val="uk-UA" w:eastAsia="en-US" w:bidi="ar-SA"/>
    </w:rPr>
  </w:style>
  <w:style w:type="character" w:customStyle="1" w:styleId="ListLabel247">
    <w:name w:val="ListLabel 247"/>
    <w:qFormat/>
    <w:rsid w:val="00417DC7"/>
    <w:rPr>
      <w:rFonts w:ascii="Symbol" w:hAnsi="Symbol" w:cs="Symbol" w:hint="default"/>
      <w:lang w:val="uk-UA" w:eastAsia="en-US" w:bidi="ar-SA"/>
    </w:rPr>
  </w:style>
  <w:style w:type="character" w:customStyle="1" w:styleId="ListLabel248">
    <w:name w:val="ListLabel 248"/>
    <w:qFormat/>
    <w:rsid w:val="00417DC7"/>
    <w:rPr>
      <w:rFonts w:ascii="Symbol" w:hAnsi="Symbol" w:cs="Symbol" w:hint="default"/>
      <w:lang w:val="uk-UA" w:eastAsia="en-US" w:bidi="ar-SA"/>
    </w:rPr>
  </w:style>
  <w:style w:type="character" w:customStyle="1" w:styleId="ListLabel249">
    <w:name w:val="ListLabel 249"/>
    <w:qFormat/>
    <w:rsid w:val="00417DC7"/>
    <w:rPr>
      <w:rFonts w:ascii="Symbol" w:hAnsi="Symbol" w:cs="Symbol" w:hint="default"/>
      <w:lang w:val="uk-UA" w:eastAsia="en-US" w:bidi="ar-SA"/>
    </w:rPr>
  </w:style>
  <w:style w:type="character" w:customStyle="1" w:styleId="ListLabel250">
    <w:name w:val="ListLabel 250"/>
    <w:qFormat/>
    <w:rsid w:val="00417DC7"/>
    <w:rPr>
      <w:rFonts w:ascii="Symbol" w:hAnsi="Symbol" w:cs="Symbol" w:hint="default"/>
      <w:lang w:val="uk-UA" w:eastAsia="en-US" w:bidi="ar-SA"/>
    </w:rPr>
  </w:style>
  <w:style w:type="character" w:customStyle="1" w:styleId="ListLabel251">
    <w:name w:val="ListLabel 251"/>
    <w:qFormat/>
    <w:rsid w:val="00417DC7"/>
    <w:rPr>
      <w:rFonts w:ascii="Symbol" w:hAnsi="Symbol" w:cs="Symbol" w:hint="default"/>
      <w:lang w:val="uk-UA" w:eastAsia="en-US" w:bidi="ar-SA"/>
    </w:rPr>
  </w:style>
  <w:style w:type="character" w:customStyle="1" w:styleId="ListLabel252">
    <w:name w:val="ListLabel 252"/>
    <w:qFormat/>
    <w:rsid w:val="00417DC7"/>
    <w:rPr>
      <w:rFonts w:ascii="Symbol" w:hAnsi="Symbol" w:cs="Symbol" w:hint="default"/>
      <w:lang w:val="uk-UA" w:eastAsia="en-US" w:bidi="ar-SA"/>
    </w:rPr>
  </w:style>
  <w:style w:type="character" w:customStyle="1" w:styleId="ListLabel253">
    <w:name w:val="ListLabel 253"/>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54">
    <w:name w:val="ListLabel 254"/>
    <w:qFormat/>
    <w:rsid w:val="00417DC7"/>
    <w:rPr>
      <w:rFonts w:ascii="Symbol" w:hAnsi="Symbol" w:cs="Symbol" w:hint="default"/>
      <w:lang w:val="uk-UA" w:eastAsia="en-US" w:bidi="ar-SA"/>
    </w:rPr>
  </w:style>
  <w:style w:type="character" w:customStyle="1" w:styleId="ListLabel255">
    <w:name w:val="ListLabel 255"/>
    <w:qFormat/>
    <w:rsid w:val="00417DC7"/>
    <w:rPr>
      <w:rFonts w:ascii="Symbol" w:hAnsi="Symbol" w:cs="Symbol" w:hint="default"/>
      <w:lang w:val="uk-UA" w:eastAsia="en-US" w:bidi="ar-SA"/>
    </w:rPr>
  </w:style>
  <w:style w:type="character" w:customStyle="1" w:styleId="ListLabel256">
    <w:name w:val="ListLabel 256"/>
    <w:qFormat/>
    <w:rsid w:val="00417DC7"/>
    <w:rPr>
      <w:rFonts w:ascii="Symbol" w:hAnsi="Symbol" w:cs="Symbol" w:hint="default"/>
      <w:lang w:val="uk-UA" w:eastAsia="en-US" w:bidi="ar-SA"/>
    </w:rPr>
  </w:style>
  <w:style w:type="character" w:customStyle="1" w:styleId="ListLabel257">
    <w:name w:val="ListLabel 257"/>
    <w:qFormat/>
    <w:rsid w:val="00417DC7"/>
    <w:rPr>
      <w:rFonts w:ascii="Symbol" w:hAnsi="Symbol" w:cs="Symbol" w:hint="default"/>
      <w:lang w:val="uk-UA" w:eastAsia="en-US" w:bidi="ar-SA"/>
    </w:rPr>
  </w:style>
  <w:style w:type="character" w:customStyle="1" w:styleId="ListLabel258">
    <w:name w:val="ListLabel 258"/>
    <w:qFormat/>
    <w:rsid w:val="00417DC7"/>
    <w:rPr>
      <w:rFonts w:ascii="Symbol" w:hAnsi="Symbol" w:cs="Symbol" w:hint="default"/>
      <w:lang w:val="uk-UA" w:eastAsia="en-US" w:bidi="ar-SA"/>
    </w:rPr>
  </w:style>
  <w:style w:type="character" w:customStyle="1" w:styleId="ListLabel259">
    <w:name w:val="ListLabel 259"/>
    <w:qFormat/>
    <w:rsid w:val="00417DC7"/>
    <w:rPr>
      <w:rFonts w:ascii="Symbol" w:hAnsi="Symbol" w:cs="Symbol" w:hint="default"/>
      <w:lang w:val="uk-UA" w:eastAsia="en-US" w:bidi="ar-SA"/>
    </w:rPr>
  </w:style>
  <w:style w:type="character" w:customStyle="1" w:styleId="ListLabel260">
    <w:name w:val="ListLabel 260"/>
    <w:qFormat/>
    <w:rsid w:val="00417DC7"/>
    <w:rPr>
      <w:rFonts w:ascii="Symbol" w:hAnsi="Symbol" w:cs="Symbol" w:hint="default"/>
      <w:lang w:val="uk-UA" w:eastAsia="en-US" w:bidi="ar-SA"/>
    </w:rPr>
  </w:style>
  <w:style w:type="character" w:customStyle="1" w:styleId="ListLabel261">
    <w:name w:val="ListLabel 261"/>
    <w:qFormat/>
    <w:rsid w:val="00417DC7"/>
    <w:rPr>
      <w:rFonts w:ascii="Symbol" w:hAnsi="Symbol" w:cs="Symbol" w:hint="default"/>
      <w:lang w:val="uk-UA" w:eastAsia="en-US" w:bidi="ar-SA"/>
    </w:rPr>
  </w:style>
  <w:style w:type="character" w:customStyle="1" w:styleId="ListLabel262">
    <w:name w:val="ListLabel 262"/>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63">
    <w:name w:val="ListLabel 263"/>
    <w:qFormat/>
    <w:rsid w:val="00417DC7"/>
    <w:rPr>
      <w:rFonts w:ascii="Symbol" w:hAnsi="Symbol" w:cs="Symbol" w:hint="default"/>
      <w:lang w:val="uk-UA" w:eastAsia="en-US" w:bidi="ar-SA"/>
    </w:rPr>
  </w:style>
  <w:style w:type="character" w:customStyle="1" w:styleId="ListLabel264">
    <w:name w:val="ListLabel 264"/>
    <w:qFormat/>
    <w:rsid w:val="00417DC7"/>
    <w:rPr>
      <w:rFonts w:ascii="Symbol" w:hAnsi="Symbol" w:cs="Symbol" w:hint="default"/>
      <w:lang w:val="uk-UA" w:eastAsia="en-US" w:bidi="ar-SA"/>
    </w:rPr>
  </w:style>
  <w:style w:type="character" w:customStyle="1" w:styleId="ListLabel265">
    <w:name w:val="ListLabel 265"/>
    <w:qFormat/>
    <w:rsid w:val="00417DC7"/>
    <w:rPr>
      <w:rFonts w:ascii="Symbol" w:hAnsi="Symbol" w:cs="Symbol" w:hint="default"/>
      <w:lang w:val="uk-UA" w:eastAsia="en-US" w:bidi="ar-SA"/>
    </w:rPr>
  </w:style>
  <w:style w:type="character" w:customStyle="1" w:styleId="ListLabel266">
    <w:name w:val="ListLabel 266"/>
    <w:qFormat/>
    <w:rsid w:val="00417DC7"/>
    <w:rPr>
      <w:rFonts w:ascii="Symbol" w:hAnsi="Symbol" w:cs="Symbol" w:hint="default"/>
      <w:lang w:val="uk-UA" w:eastAsia="en-US" w:bidi="ar-SA"/>
    </w:rPr>
  </w:style>
  <w:style w:type="character" w:customStyle="1" w:styleId="ListLabel267">
    <w:name w:val="ListLabel 267"/>
    <w:qFormat/>
    <w:rsid w:val="00417DC7"/>
    <w:rPr>
      <w:rFonts w:ascii="Symbol" w:hAnsi="Symbol" w:cs="Symbol" w:hint="default"/>
      <w:lang w:val="uk-UA" w:eastAsia="en-US" w:bidi="ar-SA"/>
    </w:rPr>
  </w:style>
  <w:style w:type="character" w:customStyle="1" w:styleId="ListLabel268">
    <w:name w:val="ListLabel 268"/>
    <w:qFormat/>
    <w:rsid w:val="00417DC7"/>
    <w:rPr>
      <w:rFonts w:ascii="Symbol" w:hAnsi="Symbol" w:cs="Symbol" w:hint="default"/>
      <w:lang w:val="uk-UA" w:eastAsia="en-US" w:bidi="ar-SA"/>
    </w:rPr>
  </w:style>
  <w:style w:type="character" w:customStyle="1" w:styleId="ListLabel269">
    <w:name w:val="ListLabel 269"/>
    <w:qFormat/>
    <w:rsid w:val="00417DC7"/>
    <w:rPr>
      <w:rFonts w:ascii="Symbol" w:hAnsi="Symbol" w:cs="Symbol" w:hint="default"/>
      <w:lang w:val="uk-UA" w:eastAsia="en-US" w:bidi="ar-SA"/>
    </w:rPr>
  </w:style>
  <w:style w:type="character" w:customStyle="1" w:styleId="ListLabel270">
    <w:name w:val="ListLabel 270"/>
    <w:qFormat/>
    <w:rsid w:val="00417DC7"/>
    <w:rPr>
      <w:rFonts w:ascii="Symbol" w:hAnsi="Symbol" w:cs="Symbol" w:hint="default"/>
      <w:lang w:val="uk-UA" w:eastAsia="en-US" w:bidi="ar-SA"/>
    </w:rPr>
  </w:style>
  <w:style w:type="character" w:customStyle="1" w:styleId="ListLabel271">
    <w:name w:val="ListLabel 271"/>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72">
    <w:name w:val="ListLabel 272"/>
    <w:qFormat/>
    <w:rsid w:val="00417DC7"/>
    <w:rPr>
      <w:rFonts w:ascii="Symbol" w:hAnsi="Symbol" w:cs="Symbol" w:hint="default"/>
      <w:lang w:val="uk-UA" w:eastAsia="en-US" w:bidi="ar-SA"/>
    </w:rPr>
  </w:style>
  <w:style w:type="character" w:customStyle="1" w:styleId="ListLabel273">
    <w:name w:val="ListLabel 273"/>
    <w:qFormat/>
    <w:rsid w:val="00417DC7"/>
    <w:rPr>
      <w:rFonts w:ascii="Symbol" w:hAnsi="Symbol" w:cs="Symbol" w:hint="default"/>
      <w:lang w:val="uk-UA" w:eastAsia="en-US" w:bidi="ar-SA"/>
    </w:rPr>
  </w:style>
  <w:style w:type="character" w:customStyle="1" w:styleId="ListLabel274">
    <w:name w:val="ListLabel 274"/>
    <w:qFormat/>
    <w:rsid w:val="00417DC7"/>
    <w:rPr>
      <w:rFonts w:ascii="Symbol" w:hAnsi="Symbol" w:cs="Symbol" w:hint="default"/>
      <w:lang w:val="uk-UA" w:eastAsia="en-US" w:bidi="ar-SA"/>
    </w:rPr>
  </w:style>
  <w:style w:type="character" w:customStyle="1" w:styleId="ListLabel275">
    <w:name w:val="ListLabel 275"/>
    <w:qFormat/>
    <w:rsid w:val="00417DC7"/>
    <w:rPr>
      <w:rFonts w:ascii="Symbol" w:hAnsi="Symbol" w:cs="Symbol" w:hint="default"/>
      <w:lang w:val="uk-UA" w:eastAsia="en-US" w:bidi="ar-SA"/>
    </w:rPr>
  </w:style>
  <w:style w:type="character" w:customStyle="1" w:styleId="ListLabel276">
    <w:name w:val="ListLabel 276"/>
    <w:qFormat/>
    <w:rsid w:val="00417DC7"/>
    <w:rPr>
      <w:rFonts w:ascii="Symbol" w:hAnsi="Symbol" w:cs="Symbol" w:hint="default"/>
      <w:lang w:val="uk-UA" w:eastAsia="en-US" w:bidi="ar-SA"/>
    </w:rPr>
  </w:style>
  <w:style w:type="character" w:customStyle="1" w:styleId="ListLabel277">
    <w:name w:val="ListLabel 277"/>
    <w:qFormat/>
    <w:rsid w:val="00417DC7"/>
    <w:rPr>
      <w:rFonts w:ascii="Symbol" w:hAnsi="Symbol" w:cs="Symbol" w:hint="default"/>
      <w:lang w:val="uk-UA" w:eastAsia="en-US" w:bidi="ar-SA"/>
    </w:rPr>
  </w:style>
  <w:style w:type="character" w:customStyle="1" w:styleId="ListLabel278">
    <w:name w:val="ListLabel 278"/>
    <w:qFormat/>
    <w:rsid w:val="00417DC7"/>
    <w:rPr>
      <w:rFonts w:ascii="Symbol" w:hAnsi="Symbol" w:cs="Symbol" w:hint="default"/>
      <w:lang w:val="uk-UA" w:eastAsia="en-US" w:bidi="ar-SA"/>
    </w:rPr>
  </w:style>
  <w:style w:type="character" w:customStyle="1" w:styleId="ListLabel279">
    <w:name w:val="ListLabel 279"/>
    <w:qFormat/>
    <w:rsid w:val="00417DC7"/>
    <w:rPr>
      <w:rFonts w:ascii="Symbol" w:hAnsi="Symbol" w:cs="Symbol" w:hint="default"/>
      <w:lang w:val="uk-UA" w:eastAsia="en-US" w:bidi="ar-SA"/>
    </w:rPr>
  </w:style>
  <w:style w:type="character" w:customStyle="1" w:styleId="ListLabel280">
    <w:name w:val="ListLabel 280"/>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81">
    <w:name w:val="ListLabel 281"/>
    <w:qFormat/>
    <w:rsid w:val="00417DC7"/>
    <w:rPr>
      <w:rFonts w:ascii="Symbol" w:hAnsi="Symbol" w:cs="Symbol" w:hint="default"/>
      <w:lang w:val="uk-UA" w:eastAsia="en-US" w:bidi="ar-SA"/>
    </w:rPr>
  </w:style>
  <w:style w:type="character" w:customStyle="1" w:styleId="ListLabel282">
    <w:name w:val="ListLabel 282"/>
    <w:qFormat/>
    <w:rsid w:val="00417DC7"/>
    <w:rPr>
      <w:rFonts w:ascii="Symbol" w:hAnsi="Symbol" w:cs="Symbol" w:hint="default"/>
      <w:lang w:val="uk-UA" w:eastAsia="en-US" w:bidi="ar-SA"/>
    </w:rPr>
  </w:style>
  <w:style w:type="character" w:customStyle="1" w:styleId="ListLabel283">
    <w:name w:val="ListLabel 283"/>
    <w:qFormat/>
    <w:rsid w:val="00417DC7"/>
    <w:rPr>
      <w:rFonts w:ascii="Symbol" w:hAnsi="Symbol" w:cs="Symbol" w:hint="default"/>
      <w:lang w:val="uk-UA" w:eastAsia="en-US" w:bidi="ar-SA"/>
    </w:rPr>
  </w:style>
  <w:style w:type="character" w:customStyle="1" w:styleId="ListLabel284">
    <w:name w:val="ListLabel 284"/>
    <w:qFormat/>
    <w:rsid w:val="00417DC7"/>
    <w:rPr>
      <w:rFonts w:ascii="Symbol" w:hAnsi="Symbol" w:cs="Symbol" w:hint="default"/>
      <w:lang w:val="uk-UA" w:eastAsia="en-US" w:bidi="ar-SA"/>
    </w:rPr>
  </w:style>
  <w:style w:type="character" w:customStyle="1" w:styleId="ListLabel285">
    <w:name w:val="ListLabel 285"/>
    <w:qFormat/>
    <w:rsid w:val="00417DC7"/>
    <w:rPr>
      <w:rFonts w:ascii="Symbol" w:hAnsi="Symbol" w:cs="Symbol" w:hint="default"/>
      <w:lang w:val="uk-UA" w:eastAsia="en-US" w:bidi="ar-SA"/>
    </w:rPr>
  </w:style>
  <w:style w:type="character" w:customStyle="1" w:styleId="ListLabel286">
    <w:name w:val="ListLabel 286"/>
    <w:qFormat/>
    <w:rsid w:val="00417DC7"/>
    <w:rPr>
      <w:rFonts w:ascii="Symbol" w:hAnsi="Symbol" w:cs="Symbol" w:hint="default"/>
      <w:lang w:val="uk-UA" w:eastAsia="en-US" w:bidi="ar-SA"/>
    </w:rPr>
  </w:style>
  <w:style w:type="character" w:customStyle="1" w:styleId="ListLabel287">
    <w:name w:val="ListLabel 287"/>
    <w:qFormat/>
    <w:rsid w:val="00417DC7"/>
    <w:rPr>
      <w:rFonts w:ascii="Symbol" w:hAnsi="Symbol" w:cs="Symbol" w:hint="default"/>
      <w:lang w:val="uk-UA" w:eastAsia="en-US" w:bidi="ar-SA"/>
    </w:rPr>
  </w:style>
  <w:style w:type="character" w:customStyle="1" w:styleId="ListLabel288">
    <w:name w:val="ListLabel 288"/>
    <w:qFormat/>
    <w:rsid w:val="00417DC7"/>
    <w:rPr>
      <w:rFonts w:ascii="Symbol" w:hAnsi="Symbol" w:cs="Symbol" w:hint="default"/>
      <w:lang w:val="uk-UA" w:eastAsia="en-US" w:bidi="ar-SA"/>
    </w:rPr>
  </w:style>
  <w:style w:type="character" w:customStyle="1" w:styleId="ListLabel289">
    <w:name w:val="ListLabel 289"/>
    <w:qFormat/>
    <w:rsid w:val="00417DC7"/>
    <w:rPr>
      <w:rFonts w:ascii="Times New Roman" w:eastAsia="Times New Roman" w:hAnsi="Times New Roman" w:cs="Times New Roman" w:hint="default"/>
      <w:spacing w:val="0"/>
      <w:w w:val="100"/>
      <w:sz w:val="28"/>
      <w:szCs w:val="28"/>
      <w:lang w:val="uk-UA" w:eastAsia="en-US" w:bidi="ar-SA"/>
    </w:rPr>
  </w:style>
  <w:style w:type="character" w:customStyle="1" w:styleId="ListLabel290">
    <w:name w:val="ListLabel 290"/>
    <w:qFormat/>
    <w:rsid w:val="00417DC7"/>
    <w:rPr>
      <w:rFonts w:ascii="Symbol" w:hAnsi="Symbol" w:cs="Symbol" w:hint="default"/>
      <w:lang w:val="uk-UA" w:eastAsia="en-US" w:bidi="ar-SA"/>
    </w:rPr>
  </w:style>
  <w:style w:type="character" w:customStyle="1" w:styleId="ListLabel291">
    <w:name w:val="ListLabel 291"/>
    <w:qFormat/>
    <w:rsid w:val="00417DC7"/>
    <w:rPr>
      <w:rFonts w:ascii="Symbol" w:hAnsi="Symbol" w:cs="Symbol" w:hint="default"/>
      <w:lang w:val="uk-UA" w:eastAsia="en-US" w:bidi="ar-SA"/>
    </w:rPr>
  </w:style>
  <w:style w:type="character" w:customStyle="1" w:styleId="ListLabel292">
    <w:name w:val="ListLabel 292"/>
    <w:qFormat/>
    <w:rsid w:val="00417DC7"/>
    <w:rPr>
      <w:rFonts w:ascii="Symbol" w:hAnsi="Symbol" w:cs="Symbol" w:hint="default"/>
      <w:lang w:val="uk-UA" w:eastAsia="en-US" w:bidi="ar-SA"/>
    </w:rPr>
  </w:style>
  <w:style w:type="character" w:customStyle="1" w:styleId="ListLabel293">
    <w:name w:val="ListLabel 293"/>
    <w:qFormat/>
    <w:rsid w:val="00417DC7"/>
    <w:rPr>
      <w:rFonts w:ascii="Symbol" w:hAnsi="Symbol" w:cs="Symbol" w:hint="default"/>
      <w:lang w:val="uk-UA" w:eastAsia="en-US" w:bidi="ar-SA"/>
    </w:rPr>
  </w:style>
  <w:style w:type="character" w:customStyle="1" w:styleId="ListLabel294">
    <w:name w:val="ListLabel 294"/>
    <w:qFormat/>
    <w:rsid w:val="00417DC7"/>
    <w:rPr>
      <w:rFonts w:ascii="Symbol" w:hAnsi="Symbol" w:cs="Symbol" w:hint="default"/>
      <w:lang w:val="uk-UA" w:eastAsia="en-US" w:bidi="ar-SA"/>
    </w:rPr>
  </w:style>
  <w:style w:type="character" w:customStyle="1" w:styleId="ListLabel295">
    <w:name w:val="ListLabel 295"/>
    <w:qFormat/>
    <w:rsid w:val="00417DC7"/>
    <w:rPr>
      <w:rFonts w:ascii="Symbol" w:hAnsi="Symbol" w:cs="Symbol" w:hint="default"/>
      <w:lang w:val="uk-UA" w:eastAsia="en-US" w:bidi="ar-SA"/>
    </w:rPr>
  </w:style>
  <w:style w:type="character" w:customStyle="1" w:styleId="ListLabel296">
    <w:name w:val="ListLabel 296"/>
    <w:qFormat/>
    <w:rsid w:val="00417DC7"/>
    <w:rPr>
      <w:rFonts w:ascii="Symbol" w:hAnsi="Symbol" w:cs="Symbol" w:hint="default"/>
      <w:lang w:val="uk-UA" w:eastAsia="en-US" w:bidi="ar-SA"/>
    </w:rPr>
  </w:style>
  <w:style w:type="character" w:customStyle="1" w:styleId="ListLabel297">
    <w:name w:val="ListLabel 297"/>
    <w:qFormat/>
    <w:rsid w:val="00417DC7"/>
    <w:rPr>
      <w:rFonts w:ascii="Symbol" w:hAnsi="Symbol" w:cs="Symbol" w:hint="default"/>
      <w:lang w:val="uk-UA" w:eastAsia="en-US" w:bidi="ar-SA"/>
    </w:rPr>
  </w:style>
  <w:style w:type="character" w:customStyle="1" w:styleId="translation-chunk">
    <w:name w:val="translation-chunk"/>
    <w:basedOn w:val="18"/>
    <w:rsid w:val="00417DC7"/>
  </w:style>
  <w:style w:type="character" w:customStyle="1" w:styleId="authors-list-item">
    <w:name w:val="authors-list-item"/>
    <w:basedOn w:val="a0"/>
    <w:rsid w:val="00417DC7"/>
  </w:style>
  <w:style w:type="character" w:customStyle="1" w:styleId="author-sup-separator">
    <w:name w:val="author-sup-separator"/>
    <w:basedOn w:val="a0"/>
    <w:rsid w:val="00417DC7"/>
  </w:style>
  <w:style w:type="character" w:customStyle="1" w:styleId="comma">
    <w:name w:val="comma"/>
    <w:basedOn w:val="a0"/>
    <w:rsid w:val="00417DC7"/>
  </w:style>
  <w:style w:type="character" w:styleId="af5">
    <w:name w:val="Strong"/>
    <w:basedOn w:val="a0"/>
    <w:qFormat/>
    <w:rsid w:val="00417DC7"/>
    <w:rPr>
      <w:b/>
      <w:bCs/>
    </w:rPr>
  </w:style>
  <w:style w:type="character" w:styleId="af6">
    <w:name w:val="annotation reference"/>
    <w:basedOn w:val="a0"/>
    <w:uiPriority w:val="99"/>
    <w:semiHidden/>
    <w:unhideWhenUsed/>
    <w:rsid w:val="00110490"/>
    <w:rPr>
      <w:sz w:val="16"/>
      <w:szCs w:val="16"/>
    </w:rPr>
  </w:style>
  <w:style w:type="paragraph" w:styleId="af7">
    <w:name w:val="Revision"/>
    <w:hidden/>
    <w:uiPriority w:val="99"/>
    <w:semiHidden/>
    <w:rsid w:val="00110490"/>
    <w:pPr>
      <w:spacing w:after="0" w:line="240" w:lineRule="auto"/>
    </w:pPr>
    <w:rPr>
      <w:rFonts w:ascii="Times New Roman" w:eastAsia="Times New Roman" w:hAnsi="Times New Roman" w:cs="Times New Roman"/>
      <w:color w:val="00000A"/>
    </w:rPr>
  </w:style>
  <w:style w:type="paragraph" w:styleId="af8">
    <w:name w:val="footer"/>
    <w:basedOn w:val="a"/>
    <w:link w:val="af9"/>
    <w:uiPriority w:val="99"/>
    <w:unhideWhenUsed/>
    <w:rsid w:val="00156AE8"/>
    <w:pPr>
      <w:tabs>
        <w:tab w:val="center" w:pos="4677"/>
        <w:tab w:val="right" w:pos="9355"/>
      </w:tabs>
    </w:pPr>
  </w:style>
  <w:style w:type="character" w:customStyle="1" w:styleId="af9">
    <w:name w:val="Нижний колонтитул Знак"/>
    <w:basedOn w:val="a0"/>
    <w:link w:val="af8"/>
    <w:uiPriority w:val="99"/>
    <w:rsid w:val="00156AE8"/>
    <w:rPr>
      <w:rFonts w:ascii="Times New Roman" w:eastAsia="Times New Roman" w:hAnsi="Times New Roman" w:cs="Times New Roman"/>
      <w:color w:val="00000A"/>
    </w:rPr>
  </w:style>
  <w:style w:type="character" w:styleId="afa">
    <w:name w:val="Emphasis"/>
    <w:basedOn w:val="a0"/>
    <w:uiPriority w:val="20"/>
    <w:qFormat/>
    <w:rsid w:val="002A03B9"/>
    <w:rPr>
      <w:i/>
      <w:iCs/>
    </w:rPr>
  </w:style>
</w:styles>
</file>

<file path=word/webSettings.xml><?xml version="1.0" encoding="utf-8"?>
<w:webSettings xmlns:r="http://schemas.openxmlformats.org/officeDocument/2006/relationships" xmlns:w="http://schemas.openxmlformats.org/wordprocessingml/2006/main">
  <w:divs>
    <w:div w:id="80375238">
      <w:bodyDiv w:val="1"/>
      <w:marLeft w:val="0"/>
      <w:marRight w:val="0"/>
      <w:marTop w:val="0"/>
      <w:marBottom w:val="0"/>
      <w:divBdr>
        <w:top w:val="none" w:sz="0" w:space="0" w:color="auto"/>
        <w:left w:val="none" w:sz="0" w:space="0" w:color="auto"/>
        <w:bottom w:val="none" w:sz="0" w:space="0" w:color="auto"/>
        <w:right w:val="none" w:sz="0" w:space="0" w:color="auto"/>
      </w:divBdr>
    </w:div>
    <w:div w:id="187260158">
      <w:bodyDiv w:val="1"/>
      <w:marLeft w:val="0"/>
      <w:marRight w:val="0"/>
      <w:marTop w:val="0"/>
      <w:marBottom w:val="0"/>
      <w:divBdr>
        <w:top w:val="none" w:sz="0" w:space="0" w:color="auto"/>
        <w:left w:val="none" w:sz="0" w:space="0" w:color="auto"/>
        <w:bottom w:val="none" w:sz="0" w:space="0" w:color="auto"/>
        <w:right w:val="none" w:sz="0" w:space="0" w:color="auto"/>
      </w:divBdr>
    </w:div>
    <w:div w:id="871264808">
      <w:bodyDiv w:val="1"/>
      <w:marLeft w:val="0"/>
      <w:marRight w:val="0"/>
      <w:marTop w:val="0"/>
      <w:marBottom w:val="0"/>
      <w:divBdr>
        <w:top w:val="none" w:sz="0" w:space="0" w:color="auto"/>
        <w:left w:val="none" w:sz="0" w:space="0" w:color="auto"/>
        <w:bottom w:val="none" w:sz="0" w:space="0" w:color="auto"/>
        <w:right w:val="none" w:sz="0" w:space="0" w:color="auto"/>
      </w:divBdr>
    </w:div>
    <w:div w:id="1307733965">
      <w:bodyDiv w:val="1"/>
      <w:marLeft w:val="0"/>
      <w:marRight w:val="0"/>
      <w:marTop w:val="0"/>
      <w:marBottom w:val="0"/>
      <w:divBdr>
        <w:top w:val="none" w:sz="0" w:space="0" w:color="auto"/>
        <w:left w:val="none" w:sz="0" w:space="0" w:color="auto"/>
        <w:bottom w:val="none" w:sz="0" w:space="0" w:color="auto"/>
        <w:right w:val="none" w:sz="0" w:space="0" w:color="auto"/>
      </w:divBdr>
    </w:div>
    <w:div w:id="1726366726">
      <w:bodyDiv w:val="1"/>
      <w:marLeft w:val="0"/>
      <w:marRight w:val="0"/>
      <w:marTop w:val="0"/>
      <w:marBottom w:val="0"/>
      <w:divBdr>
        <w:top w:val="none" w:sz="0" w:space="0" w:color="auto"/>
        <w:left w:val="none" w:sz="0" w:space="0" w:color="auto"/>
        <w:bottom w:val="none" w:sz="0" w:space="0" w:color="auto"/>
        <w:right w:val="none" w:sz="0" w:space="0" w:color="auto"/>
      </w:divBdr>
    </w:div>
    <w:div w:id="1913732556">
      <w:bodyDiv w:val="1"/>
      <w:marLeft w:val="0"/>
      <w:marRight w:val="0"/>
      <w:marTop w:val="0"/>
      <w:marBottom w:val="0"/>
      <w:divBdr>
        <w:top w:val="none" w:sz="0" w:space="0" w:color="auto"/>
        <w:left w:val="none" w:sz="0" w:space="0" w:color="auto"/>
        <w:bottom w:val="none" w:sz="0" w:space="0" w:color="auto"/>
        <w:right w:val="none" w:sz="0" w:space="0" w:color="auto"/>
      </w:divBdr>
    </w:div>
    <w:div w:id="1993673691">
      <w:bodyDiv w:val="1"/>
      <w:marLeft w:val="0"/>
      <w:marRight w:val="0"/>
      <w:marTop w:val="0"/>
      <w:marBottom w:val="0"/>
      <w:divBdr>
        <w:top w:val="none" w:sz="0" w:space="0" w:color="auto"/>
        <w:left w:val="none" w:sz="0" w:space="0" w:color="auto"/>
        <w:bottom w:val="none" w:sz="0" w:space="0" w:color="auto"/>
        <w:right w:val="none" w:sz="0" w:space="0" w:color="auto"/>
      </w:divBdr>
    </w:div>
    <w:div w:id="21016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758331226940323"/>
          <c:y val="2.4014252491942781E-2"/>
          <c:w val="0.79186898512685888"/>
          <c:h val="0.8030312737112395"/>
        </c:manualLayout>
      </c:layout>
      <c:barChart>
        <c:barDir val="bar"/>
        <c:grouping val="clustered"/>
        <c:ser>
          <c:idx val="0"/>
          <c:order val="0"/>
          <c:tx>
            <c:strRef>
              <c:f>Лист1!$B$1</c:f>
              <c:strCache>
                <c:ptCount val="1"/>
                <c:pt idx="0">
                  <c:v>90</c:v>
                </c:pt>
              </c:strCache>
            </c:strRef>
          </c:tx>
          <c:spPr>
            <a:solidFill>
              <a:schemeClr val="bg1">
                <a:lumMod val="65000"/>
              </a:schemeClr>
            </a:solidFill>
            <a:ln>
              <a:solidFill>
                <a:schemeClr val="tx1"/>
              </a:solidFill>
            </a:ln>
          </c:spPr>
          <c:dPt>
            <c:idx val="1"/>
            <c:spPr>
              <a:solidFill>
                <a:schemeClr val="accent1">
                  <a:lumMod val="60000"/>
                  <a:lumOff val="40000"/>
                </a:schemeClr>
              </a:solidFill>
              <a:ln>
                <a:solidFill>
                  <a:schemeClr val="tx1"/>
                </a:solidFill>
              </a:ln>
            </c:spPr>
            <c:extLst xmlns:c16r2="http://schemas.microsoft.com/office/drawing/2015/06/chart">
              <c:ext xmlns:c16="http://schemas.microsoft.com/office/drawing/2014/chart" uri="{C3380CC4-5D6E-409C-BE32-E72D297353CC}">
                <c16:uniqueId val="{00000001-93BB-4F93-A74D-E353453EAC08}"/>
              </c:ext>
            </c:extLst>
          </c:dPt>
          <c:dLbls>
            <c:dLbl>
              <c:idx val="0"/>
              <c:tx>
                <c:rich>
                  <a:bodyPr/>
                  <a:lstStyle/>
                  <a:p>
                    <a:r>
                      <a:rPr lang="en-US"/>
                      <a:t>124</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7C0-44AC-A73A-C761F7B6379F}"/>
                </c:ext>
              </c:extLst>
            </c:dLbl>
            <c:dLbl>
              <c:idx val="6"/>
              <c:layout>
                <c:manualLayout>
                  <c:x val="-0.20892388451443589"/>
                  <c:y val="0"/>
                </c:manualLayout>
              </c:layout>
              <c:spPr>
                <a:noFill/>
                <a:ln w="25309">
                  <a:noFill/>
                </a:ln>
              </c:spPr>
              <c:txPr>
                <a:bodyPr/>
                <a:lstStyle/>
                <a:p>
                  <a:pPr>
                    <a:defRPr sz="996" b="1" i="0" u="none" strike="noStrike" baseline="0">
                      <a:solidFill>
                        <a:srgbClr val="000000"/>
                      </a:solidFill>
                      <a:latin typeface="Arial"/>
                      <a:ea typeface="Arial"/>
                      <a:cs typeface="Arial"/>
                    </a:defRPr>
                  </a:pPr>
                  <a:endParaRPr lang="ru-RU"/>
                </a:p>
              </c:tx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3BB-4F93-A74D-E353453EAC08}"/>
                </c:ext>
              </c:extLst>
            </c:dLbl>
            <c:spPr>
              <a:noFill/>
              <a:ln w="25309">
                <a:noFill/>
              </a:ln>
            </c:spPr>
            <c:txPr>
              <a:bodyPr wrap="square" lIns="38100" tIns="19050" rIns="38100" bIns="19050" anchor="ctr">
                <a:spAutoFit/>
              </a:bodyPr>
              <a:lstStyle/>
              <a:p>
                <a:pPr>
                  <a:defRPr sz="996" b="1" i="0" u="none" strike="noStrike" baseline="0">
                    <a:solidFill>
                      <a:srgbClr val="000000"/>
                    </a:solidFill>
                    <a:latin typeface="Arial"/>
                    <a:ea typeface="Arial"/>
                    <a:cs typeface="Arial"/>
                  </a:defRPr>
                </a:pPr>
                <a:endParaRPr lang="ru-RU"/>
              </a:p>
            </c:txPr>
            <c:dLblPos val="ctr"/>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Лист1!$C$2:$C$9</c:f>
                <c:numCache>
                  <c:formatCode>General</c:formatCode>
                  <c:ptCount val="8"/>
                  <c:pt idx="0">
                    <c:v>24.945655218608991</c:v>
                  </c:pt>
                  <c:pt idx="2">
                    <c:v>37.047074301295552</c:v>
                  </c:pt>
                  <c:pt idx="3">
                    <c:v>32.097173885383931</c:v>
                  </c:pt>
                  <c:pt idx="4">
                    <c:v>34.685526005608075</c:v>
                  </c:pt>
                  <c:pt idx="5">
                    <c:v>35.229451964432911</c:v>
                  </c:pt>
                  <c:pt idx="6">
                    <c:v>29.807477489477616</c:v>
                  </c:pt>
                  <c:pt idx="7">
                    <c:v>28.136910176593918</c:v>
                  </c:pt>
                </c:numCache>
              </c:numRef>
            </c:plus>
            <c:minus>
              <c:numRef>
                <c:f>Лист1!$C$2:$C$9</c:f>
                <c:numCache>
                  <c:formatCode>General</c:formatCode>
                  <c:ptCount val="8"/>
                  <c:pt idx="0">
                    <c:v>24.945655218608991</c:v>
                  </c:pt>
                  <c:pt idx="2">
                    <c:v>37.047074301295552</c:v>
                  </c:pt>
                  <c:pt idx="3">
                    <c:v>32.097173885383931</c:v>
                  </c:pt>
                  <c:pt idx="4">
                    <c:v>34.685526005608075</c:v>
                  </c:pt>
                  <c:pt idx="5">
                    <c:v>35.229451964432911</c:v>
                  </c:pt>
                  <c:pt idx="6">
                    <c:v>29.807477489477616</c:v>
                  </c:pt>
                  <c:pt idx="7">
                    <c:v>28.136910176593918</c:v>
                  </c:pt>
                </c:numCache>
              </c:numRef>
            </c:minus>
          </c:errBars>
          <c:cat>
            <c:strRef>
              <c:f>Лист1!$A$2:$A$9</c:f>
              <c:strCache>
                <c:ptCount val="8"/>
                <c:pt idx="0">
                  <c:v>Контроль (інтактні)</c:v>
                </c:pt>
                <c:pt idx="1">
                  <c:v>І-Активний контроль (ОА)</c:v>
                </c:pt>
                <c:pt idx="2">
                  <c:v>ІІІ-Диклофенак натрію</c:v>
                </c:pt>
                <c:pt idx="3">
                  <c:v>IV-Ібупрофен</c:v>
                </c:pt>
                <c:pt idx="4">
                  <c:v>V-Мелоксикам</c:v>
                </c:pt>
                <c:pt idx="5">
                  <c:v>VI-Німесулід</c:v>
                </c:pt>
                <c:pt idx="6">
                  <c:v>VII-Целекоксиб</c:v>
                </c:pt>
                <c:pt idx="7">
                  <c:v>VIII-Парацетамол</c:v>
                </c:pt>
              </c:strCache>
            </c:strRef>
          </c:cat>
          <c:val>
            <c:numRef>
              <c:f>Лист1!$B$2:$B$9</c:f>
              <c:numCache>
                <c:formatCode>General</c:formatCode>
                <c:ptCount val="8"/>
                <c:pt idx="0" formatCode="0">
                  <c:v>129</c:v>
                </c:pt>
                <c:pt idx="1">
                  <c:v>100</c:v>
                </c:pt>
                <c:pt idx="2" formatCode="0">
                  <c:v>283.57142857142861</c:v>
                </c:pt>
                <c:pt idx="3" formatCode="0">
                  <c:v>212.85714285714292</c:v>
                </c:pt>
                <c:pt idx="4" formatCode="0">
                  <c:v>248.57142857142861</c:v>
                </c:pt>
                <c:pt idx="5" formatCode="0">
                  <c:v>256.42857142857122</c:v>
                </c:pt>
                <c:pt idx="6" formatCode="0">
                  <c:v>183.57142857142861</c:v>
                </c:pt>
                <c:pt idx="7" formatCode="0">
                  <c:v>163.57142857142861</c:v>
                </c:pt>
              </c:numCache>
            </c:numRef>
          </c:val>
          <c:extLst xmlns:c16r2="http://schemas.microsoft.com/office/drawing/2015/06/chart">
            <c:ext xmlns:c16="http://schemas.microsoft.com/office/drawing/2014/chart" uri="{C3380CC4-5D6E-409C-BE32-E72D297353CC}">
              <c16:uniqueId val="{00000003-93BB-4F93-A74D-E353453EAC08}"/>
            </c:ext>
          </c:extLst>
        </c:ser>
        <c:gapWidth val="87"/>
        <c:axId val="160656000"/>
        <c:axId val="160674176"/>
      </c:barChart>
      <c:catAx>
        <c:axId val="160656000"/>
        <c:scaling>
          <c:orientation val="minMax"/>
        </c:scaling>
        <c:axPos val="l"/>
        <c:numFmt formatCode="General" sourceLinked="1"/>
        <c:tickLblPos val="nextTo"/>
        <c:spPr>
          <a:ln w="3159">
            <a:solidFill>
              <a:srgbClr val="000000"/>
            </a:solidFill>
            <a:prstDash val="solid"/>
          </a:ln>
        </c:spPr>
        <c:txPr>
          <a:bodyPr rot="0" vert="horz"/>
          <a:lstStyle/>
          <a:p>
            <a:pPr>
              <a:defRPr sz="1395" b="0" i="0" u="none" strike="noStrike" baseline="0">
                <a:solidFill>
                  <a:srgbClr val="000000"/>
                </a:solidFill>
                <a:latin typeface="Times New Roman"/>
                <a:ea typeface="Times New Roman"/>
                <a:cs typeface="Times New Roman"/>
              </a:defRPr>
            </a:pPr>
            <a:endParaRPr lang="ru-RU"/>
          </a:p>
        </c:txPr>
        <c:crossAx val="160674176"/>
        <c:crosses val="autoZero"/>
        <c:lblAlgn val="ctr"/>
        <c:lblOffset val="100"/>
      </c:catAx>
      <c:valAx>
        <c:axId val="160674176"/>
        <c:scaling>
          <c:orientation val="minMax"/>
        </c:scaling>
        <c:axPos val="b"/>
        <c:majorGridlines/>
        <c:title>
          <c:tx>
            <c:rich>
              <a:bodyPr/>
              <a:lstStyle/>
              <a:p>
                <a:pPr>
                  <a:defRPr sz="1200" b="1" i="0" u="none" strike="noStrike" baseline="0">
                    <a:solidFill>
                      <a:srgbClr val="000000"/>
                    </a:solidFill>
                    <a:latin typeface="Times New Roman"/>
                    <a:ea typeface="Times New Roman"/>
                    <a:cs typeface="Times New Roman"/>
                  </a:defRPr>
                </a:pPr>
                <a:r>
                  <a:rPr lang="ru-RU" sz="1200" b="1"/>
                  <a:t>Больовий поріг, % </a:t>
                </a:r>
              </a:p>
            </c:rich>
          </c:tx>
          <c:layout>
            <c:manualLayout>
              <c:xMode val="edge"/>
              <c:yMode val="edge"/>
              <c:x val="0.52015443721708721"/>
              <c:y val="0.90172863996113595"/>
            </c:manualLayout>
          </c:layout>
          <c:spPr>
            <a:noFill/>
            <a:ln w="25271">
              <a:noFill/>
            </a:ln>
          </c:spPr>
        </c:title>
        <c:numFmt formatCode="0" sourceLinked="0"/>
        <c:tickLblPos val="nextTo"/>
        <c:spPr>
          <a:ln w="3159">
            <a:solidFill>
              <a:srgbClr val="000000"/>
            </a:solidFill>
            <a:prstDash val="solid"/>
          </a:ln>
        </c:spPr>
        <c:txPr>
          <a:bodyPr rot="0" vert="horz"/>
          <a:lstStyle/>
          <a:p>
            <a:pPr>
              <a:defRPr sz="996" b="1" i="0" u="none" strike="noStrike" baseline="0">
                <a:solidFill>
                  <a:srgbClr val="000000"/>
                </a:solidFill>
                <a:latin typeface="Arial Narrow"/>
                <a:ea typeface="Arial Narrow"/>
                <a:cs typeface="Arial Narrow"/>
              </a:defRPr>
            </a:pPr>
            <a:endParaRPr lang="ru-RU"/>
          </a:p>
        </c:txPr>
        <c:crossAx val="160656000"/>
        <c:crosses val="autoZero"/>
        <c:crossBetween val="between"/>
      </c:valAx>
      <c:spPr>
        <a:solidFill>
          <a:srgbClr val="FFFFFF"/>
        </a:solidFill>
        <a:ln w="12636">
          <a:solidFill>
            <a:srgbClr val="808080"/>
          </a:solidFill>
          <a:prstDash val="solid"/>
        </a:ln>
      </c:spPr>
    </c:plotArea>
    <c:plotVisOnly val="1"/>
    <c:dispBlanksAs val="gap"/>
  </c:chart>
  <c:spPr>
    <a:noFill/>
    <a:ln>
      <a:noFill/>
    </a:ln>
  </c:spPr>
  <c:txPr>
    <a:bodyPr/>
    <a:lstStyle/>
    <a:p>
      <a:pPr>
        <a:defRPr sz="996" b="1" i="0" u="none" strike="noStrike" baseline="0">
          <a:solidFill>
            <a:srgbClr val="000000"/>
          </a:solidFill>
          <a:latin typeface="Arial"/>
          <a:ea typeface="Arial"/>
          <a:cs typeface="Arial"/>
        </a:defRPr>
      </a:pPr>
      <a:endParaRPr lang="ru-RU"/>
    </a:p>
  </c:tx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428883643253706"/>
          <c:y val="5.0832950512413308E-2"/>
          <c:w val="0.79186898512685888"/>
          <c:h val="0.76447090455156541"/>
        </c:manualLayout>
      </c:layout>
      <c:barChart>
        <c:barDir val="bar"/>
        <c:grouping val="clustered"/>
        <c:ser>
          <c:idx val="0"/>
          <c:order val="0"/>
          <c:tx>
            <c:strRef>
              <c:f>Лист1!$B$1</c:f>
              <c:strCache>
                <c:ptCount val="1"/>
                <c:pt idx="0">
                  <c:v>90</c:v>
                </c:pt>
              </c:strCache>
            </c:strRef>
          </c:tx>
          <c:spPr>
            <a:solidFill>
              <a:schemeClr val="bg1">
                <a:lumMod val="65000"/>
              </a:schemeClr>
            </a:solidFill>
            <a:ln>
              <a:solidFill>
                <a:schemeClr val="tx1"/>
              </a:solidFill>
            </a:ln>
          </c:spPr>
          <c:dPt>
            <c:idx val="1"/>
            <c:spPr>
              <a:solidFill>
                <a:schemeClr val="accent1">
                  <a:lumMod val="60000"/>
                  <a:lumOff val="40000"/>
                </a:schemeClr>
              </a:solidFill>
              <a:ln>
                <a:solidFill>
                  <a:schemeClr val="tx1"/>
                </a:solidFill>
              </a:ln>
            </c:spPr>
            <c:extLst xmlns:c16r2="http://schemas.microsoft.com/office/drawing/2015/06/chart">
              <c:ext xmlns:c16="http://schemas.microsoft.com/office/drawing/2014/chart" uri="{C3380CC4-5D6E-409C-BE32-E72D297353CC}">
                <c16:uniqueId val="{00000001-0C29-4272-B08F-8006A3628EBB}"/>
              </c:ext>
            </c:extLst>
          </c:dPt>
          <c:dLbls>
            <c:dLbl>
              <c:idx val="0"/>
              <c:tx>
                <c:rich>
                  <a:bodyPr/>
                  <a:lstStyle/>
                  <a:p>
                    <a:r>
                      <a:rPr lang="en-US"/>
                      <a:t>117</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283-47FB-875B-671173B56B17}"/>
                </c:ext>
              </c:extLst>
            </c:dLbl>
            <c:dLbl>
              <c:idx val="6"/>
              <c:layout>
                <c:manualLayout>
                  <c:x val="-0.14485868946433178"/>
                  <c:y val="0"/>
                </c:manualLayout>
              </c:layout>
              <c:spPr>
                <a:noFill/>
                <a:ln w="25376">
                  <a:noFill/>
                </a:ln>
              </c:spPr>
              <c:txPr>
                <a:bodyPr/>
                <a:lstStyle/>
                <a:p>
                  <a:pPr>
                    <a:defRPr sz="999" b="1" i="0" u="none" strike="noStrike" baseline="0">
                      <a:solidFill>
                        <a:srgbClr val="000000"/>
                      </a:solidFill>
                      <a:latin typeface="Arial"/>
                      <a:ea typeface="Arial"/>
                      <a:cs typeface="Arial"/>
                    </a:defRPr>
                  </a:pPr>
                  <a:endParaRPr lang="ru-RU"/>
                </a:p>
              </c:tx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C29-4272-B08F-8006A3628EBB}"/>
                </c:ext>
              </c:extLst>
            </c:dLbl>
            <c:spPr>
              <a:noFill/>
              <a:ln w="25376">
                <a:noFill/>
              </a:ln>
            </c:spPr>
            <c:txPr>
              <a:bodyPr wrap="square" lIns="38100" tIns="19050" rIns="38100" bIns="19050" anchor="ctr">
                <a:spAutoFit/>
              </a:bodyPr>
              <a:lstStyle/>
              <a:p>
                <a:pPr>
                  <a:defRPr sz="999" b="1" i="0" u="none" strike="noStrike" baseline="0">
                    <a:solidFill>
                      <a:srgbClr val="000000"/>
                    </a:solidFill>
                    <a:latin typeface="Arial"/>
                    <a:ea typeface="Arial"/>
                    <a:cs typeface="Arial"/>
                  </a:defRPr>
                </a:pPr>
                <a:endParaRPr lang="ru-RU"/>
              </a:p>
            </c:txPr>
            <c:dLblPos val="ctr"/>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Лист1!$C$2:$C$9</c:f>
                <c:numCache>
                  <c:formatCode>General</c:formatCode>
                  <c:ptCount val="8"/>
                  <c:pt idx="0">
                    <c:v>23.481746209839049</c:v>
                  </c:pt>
                  <c:pt idx="2">
                    <c:v>35.740626814079405</c:v>
                  </c:pt>
                  <c:pt idx="3">
                    <c:v>31.211000981680829</c:v>
                  </c:pt>
                  <c:pt idx="4">
                    <c:v>31.01408418318232</c:v>
                  </c:pt>
                  <c:pt idx="5">
                    <c:v>31.455413492349503</c:v>
                  </c:pt>
                  <c:pt idx="6">
                    <c:v>27.783976804780973</c:v>
                  </c:pt>
                  <c:pt idx="7">
                    <c:v>25.363184721964753</c:v>
                  </c:pt>
                </c:numCache>
              </c:numRef>
            </c:plus>
            <c:minus>
              <c:numRef>
                <c:f>Лист1!$C$2:$C$9</c:f>
                <c:numCache>
                  <c:formatCode>General</c:formatCode>
                  <c:ptCount val="8"/>
                  <c:pt idx="0">
                    <c:v>23.481746209839049</c:v>
                  </c:pt>
                  <c:pt idx="2">
                    <c:v>35.740626814079405</c:v>
                  </c:pt>
                  <c:pt idx="3">
                    <c:v>31.211000981680829</c:v>
                  </c:pt>
                  <c:pt idx="4">
                    <c:v>31.01408418318232</c:v>
                  </c:pt>
                  <c:pt idx="5">
                    <c:v>31.455413492349503</c:v>
                  </c:pt>
                  <c:pt idx="6">
                    <c:v>27.783976804780973</c:v>
                  </c:pt>
                  <c:pt idx="7">
                    <c:v>25.363184721964753</c:v>
                  </c:pt>
                </c:numCache>
              </c:numRef>
            </c:minus>
          </c:errBars>
          <c:cat>
            <c:strRef>
              <c:f>Лист1!$A$2:$A$9</c:f>
              <c:strCache>
                <c:ptCount val="8"/>
                <c:pt idx="0">
                  <c:v>Контроль (інтактні)</c:v>
                </c:pt>
                <c:pt idx="1">
                  <c:v>І-Активний контроль (ОА+ГІТ)</c:v>
                </c:pt>
                <c:pt idx="2">
                  <c:v>ІІІ-Диклофенак натрію</c:v>
                </c:pt>
                <c:pt idx="3">
                  <c:v>IV-Ібупрофен</c:v>
                </c:pt>
                <c:pt idx="4">
                  <c:v>V-Мелоксикам</c:v>
                </c:pt>
                <c:pt idx="5">
                  <c:v>VI-Німесулід</c:v>
                </c:pt>
                <c:pt idx="6">
                  <c:v>VII-Целекоксиб</c:v>
                </c:pt>
                <c:pt idx="7">
                  <c:v>VIII-Парацетамол</c:v>
                </c:pt>
              </c:strCache>
            </c:strRef>
          </c:cat>
          <c:val>
            <c:numRef>
              <c:f>Лист1!$B$2:$B$9</c:f>
              <c:numCache>
                <c:formatCode>General</c:formatCode>
                <c:ptCount val="8"/>
                <c:pt idx="0" formatCode="0">
                  <c:v>114</c:v>
                </c:pt>
                <c:pt idx="1">
                  <c:v>100</c:v>
                </c:pt>
                <c:pt idx="2" formatCode="0">
                  <c:v>263.92405063291136</c:v>
                </c:pt>
                <c:pt idx="3" formatCode="0">
                  <c:v>201.26582278481007</c:v>
                </c:pt>
                <c:pt idx="4" formatCode="0">
                  <c:v>198.73417721518985</c:v>
                </c:pt>
                <c:pt idx="5" formatCode="0">
                  <c:v>204.43037974683543</c:v>
                </c:pt>
                <c:pt idx="6" formatCode="0">
                  <c:v>159.49367088607593</c:v>
                </c:pt>
                <c:pt idx="7" formatCode="0">
                  <c:v>132.91139240506334</c:v>
                </c:pt>
              </c:numCache>
            </c:numRef>
          </c:val>
          <c:extLst xmlns:c16r2="http://schemas.microsoft.com/office/drawing/2015/06/chart">
            <c:ext xmlns:c16="http://schemas.microsoft.com/office/drawing/2014/chart" uri="{C3380CC4-5D6E-409C-BE32-E72D297353CC}">
              <c16:uniqueId val="{00000003-0C29-4272-B08F-8006A3628EBB}"/>
            </c:ext>
          </c:extLst>
        </c:ser>
        <c:gapWidth val="87"/>
        <c:axId val="160359552"/>
        <c:axId val="160361088"/>
      </c:barChart>
      <c:catAx>
        <c:axId val="160359552"/>
        <c:scaling>
          <c:orientation val="minMax"/>
        </c:scaling>
        <c:axPos val="l"/>
        <c:numFmt formatCode="General" sourceLinked="1"/>
        <c:tickLblPos val="nextTo"/>
        <c:spPr>
          <a:ln w="3167">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ru-RU"/>
          </a:p>
        </c:txPr>
        <c:crossAx val="160361088"/>
        <c:crosses val="autoZero"/>
        <c:lblAlgn val="ctr"/>
        <c:lblOffset val="100"/>
      </c:catAx>
      <c:valAx>
        <c:axId val="160361088"/>
        <c:scaling>
          <c:orientation val="minMax"/>
        </c:scaling>
        <c:axPos val="b"/>
        <c:majorGridlines/>
        <c:title>
          <c:tx>
            <c:rich>
              <a:bodyPr/>
              <a:lstStyle/>
              <a:p>
                <a:pPr>
                  <a:defRPr sz="1200" b="1" i="0" u="none" strike="noStrike" baseline="0">
                    <a:solidFill>
                      <a:srgbClr val="000000"/>
                    </a:solidFill>
                    <a:latin typeface="Times New Roman"/>
                    <a:ea typeface="Times New Roman"/>
                    <a:cs typeface="Times New Roman"/>
                  </a:defRPr>
                </a:pPr>
                <a:r>
                  <a:rPr lang="ru-RU" sz="1200" b="1"/>
                  <a:t>Больовий поріг, % </a:t>
                </a:r>
              </a:p>
            </c:rich>
          </c:tx>
          <c:layout>
            <c:manualLayout>
              <c:xMode val="edge"/>
              <c:yMode val="edge"/>
              <c:x val="0.52015434883826317"/>
              <c:y val="0.90172863996113595"/>
            </c:manualLayout>
          </c:layout>
          <c:spPr>
            <a:noFill/>
            <a:ln w="25337">
              <a:noFill/>
            </a:ln>
          </c:spPr>
        </c:title>
        <c:numFmt formatCode="0" sourceLinked="0"/>
        <c:tickLblPos val="nextTo"/>
        <c:spPr>
          <a:ln w="3167">
            <a:solidFill>
              <a:srgbClr val="000000"/>
            </a:solidFill>
            <a:prstDash val="solid"/>
          </a:ln>
        </c:spPr>
        <c:txPr>
          <a:bodyPr rot="0" vert="horz"/>
          <a:lstStyle/>
          <a:p>
            <a:pPr>
              <a:defRPr sz="999" b="1" i="0" u="none" strike="noStrike" baseline="0">
                <a:solidFill>
                  <a:srgbClr val="000000"/>
                </a:solidFill>
                <a:latin typeface="Arial Narrow"/>
                <a:ea typeface="Arial Narrow"/>
                <a:cs typeface="Arial Narrow"/>
              </a:defRPr>
            </a:pPr>
            <a:endParaRPr lang="ru-RU"/>
          </a:p>
        </c:txPr>
        <c:crossAx val="160359552"/>
        <c:crosses val="autoZero"/>
        <c:crossBetween val="between"/>
      </c:valAx>
      <c:spPr>
        <a:solidFill>
          <a:srgbClr val="FFFFFF"/>
        </a:solidFill>
        <a:ln w="12669">
          <a:solidFill>
            <a:srgbClr val="808080"/>
          </a:solidFill>
          <a:prstDash val="solid"/>
        </a:ln>
      </c:spPr>
    </c:plotArea>
    <c:plotVisOnly val="1"/>
    <c:dispBlanksAs val="gap"/>
  </c:chart>
  <c:spPr>
    <a:noFill/>
    <a:ln>
      <a:solidFill>
        <a:schemeClr val="bg1">
          <a:lumMod val="75000"/>
        </a:schemeClr>
      </a:solidFill>
    </a:ln>
  </c:spPr>
  <c:txPr>
    <a:bodyPr/>
    <a:lstStyle/>
    <a:p>
      <a:pPr>
        <a:defRPr sz="999" b="1" i="0" u="none" strike="noStrike" baseline="0">
          <a:solidFill>
            <a:srgbClr val="000000"/>
          </a:solidFill>
          <a:latin typeface="Arial"/>
          <a:ea typeface="Arial"/>
          <a:cs typeface="Arial"/>
        </a:defRPr>
      </a:pPr>
      <a:endParaRPr lang="ru-RU"/>
    </a:p>
  </c:tx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022733045466073"/>
          <c:y val="6.0377267086763255E-2"/>
          <c:w val="0.46022206901556673"/>
          <c:h val="0.76447086614173254"/>
        </c:manualLayout>
      </c:layout>
      <c:barChart>
        <c:barDir val="bar"/>
        <c:grouping val="clustered"/>
        <c:ser>
          <c:idx val="0"/>
          <c:order val="0"/>
          <c:tx>
            <c:strRef>
              <c:f>Лист1!$B$1</c:f>
              <c:strCache>
                <c:ptCount val="1"/>
                <c:pt idx="0">
                  <c:v>90</c:v>
                </c:pt>
              </c:strCache>
            </c:strRef>
          </c:tx>
          <c:spPr>
            <a:solidFill>
              <a:schemeClr val="bg1">
                <a:lumMod val="65000"/>
              </a:schemeClr>
            </a:solidFill>
            <a:ln>
              <a:solidFill>
                <a:schemeClr val="tx1"/>
              </a:solidFill>
            </a:ln>
          </c:spPr>
          <c:dPt>
            <c:idx val="0"/>
            <c:spPr>
              <a:solidFill>
                <a:srgbClr val="5B9BD5">
                  <a:lumMod val="60000"/>
                  <a:lumOff val="40000"/>
                </a:srgbClr>
              </a:solidFill>
              <a:ln>
                <a:solidFill>
                  <a:schemeClr val="tx1"/>
                </a:solidFill>
              </a:ln>
            </c:spPr>
            <c:extLst xmlns:c16r2="http://schemas.microsoft.com/office/drawing/2015/06/chart">
              <c:ext xmlns:c16="http://schemas.microsoft.com/office/drawing/2014/chart" uri="{C3380CC4-5D6E-409C-BE32-E72D297353CC}">
                <c16:uniqueId val="{00000001-8E92-4F1E-9388-96212B8F241B}"/>
              </c:ext>
            </c:extLst>
          </c:dPt>
          <c:dPt>
            <c:idx val="1"/>
            <c:spPr>
              <a:solidFill>
                <a:sysClr val="window" lastClr="FFFFFF">
                  <a:lumMod val="65000"/>
                </a:sysClr>
              </a:solidFill>
              <a:ln>
                <a:solidFill>
                  <a:schemeClr val="tx1"/>
                </a:solidFill>
              </a:ln>
            </c:spPr>
            <c:extLst xmlns:c16r2="http://schemas.microsoft.com/office/drawing/2015/06/chart">
              <c:ext xmlns:c16="http://schemas.microsoft.com/office/drawing/2014/chart" uri="{C3380CC4-5D6E-409C-BE32-E72D297353CC}">
                <c16:uniqueId val="{00000003-8E92-4F1E-9388-96212B8F241B}"/>
              </c:ext>
            </c:extLst>
          </c:dPt>
          <c:dLbls>
            <c:dLbl>
              <c:idx val="6"/>
              <c:layout>
                <c:manualLayout>
                  <c:x val="-0.17570488986075491"/>
                  <c:y val="0"/>
                </c:manualLayout>
              </c:layout>
              <c:spPr>
                <a:noFill/>
                <a:ln w="25358">
                  <a:noFill/>
                </a:ln>
              </c:spPr>
              <c:txPr>
                <a:bodyPr/>
                <a:lstStyle/>
                <a:p>
                  <a:pPr>
                    <a:defRPr sz="1098" b="1" i="0" u="none" strike="noStrike" baseline="0">
                      <a:solidFill>
                        <a:srgbClr val="000000"/>
                      </a:solidFill>
                      <a:latin typeface="Arial"/>
                      <a:ea typeface="Arial"/>
                      <a:cs typeface="Arial"/>
                    </a:defRPr>
                  </a:pPr>
                  <a:endParaRPr lang="ru-RU"/>
                </a:p>
              </c:tx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92-4F1E-9388-96212B8F241B}"/>
                </c:ext>
              </c:extLst>
            </c:dLbl>
            <c:spPr>
              <a:noFill/>
              <a:ln w="25358">
                <a:noFill/>
              </a:ln>
            </c:spPr>
            <c:txPr>
              <a:bodyPr wrap="square" lIns="38100" tIns="19050" rIns="38100" bIns="19050" anchor="ctr">
                <a:spAutoFit/>
              </a:bodyPr>
              <a:lstStyle/>
              <a:p>
                <a:pPr>
                  <a:defRPr sz="1098" b="1" i="0" u="none" strike="noStrike" baseline="0">
                    <a:solidFill>
                      <a:srgbClr val="000000"/>
                    </a:solidFill>
                    <a:latin typeface="Arial"/>
                    <a:ea typeface="Arial"/>
                    <a:cs typeface="Arial"/>
                  </a:defRPr>
                </a:pPr>
                <a:endParaRPr lang="ru-RU"/>
              </a:p>
            </c:txPr>
            <c:dLblPos val="ctr"/>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Лист1!$C$2:$C$8</c:f>
                <c:numCache>
                  <c:formatCode>General</c:formatCode>
                  <c:ptCount val="7"/>
                  <c:pt idx="1">
                    <c:v>38.871897178345968</c:v>
                  </c:pt>
                  <c:pt idx="2">
                    <c:v>34.358227615493313</c:v>
                  </c:pt>
                  <c:pt idx="3">
                    <c:v>31.452325517961373</c:v>
                  </c:pt>
                  <c:pt idx="4">
                    <c:v>33.664050449744252</c:v>
                  </c:pt>
                  <c:pt idx="5">
                    <c:v>30.538260688088627</c:v>
                  </c:pt>
                  <c:pt idx="6">
                    <c:v>32.304043392618745</c:v>
                  </c:pt>
                </c:numCache>
              </c:numRef>
            </c:plus>
            <c:minus>
              <c:numRef>
                <c:f>Лист1!$C$2:$C$8</c:f>
                <c:numCache>
                  <c:formatCode>General</c:formatCode>
                  <c:ptCount val="7"/>
                  <c:pt idx="1">
                    <c:v>38.871897178345968</c:v>
                  </c:pt>
                  <c:pt idx="2">
                    <c:v>34.358227615493313</c:v>
                  </c:pt>
                  <c:pt idx="3">
                    <c:v>31.452325517961373</c:v>
                  </c:pt>
                  <c:pt idx="4">
                    <c:v>33.664050449744252</c:v>
                  </c:pt>
                  <c:pt idx="5">
                    <c:v>30.538260688088627</c:v>
                  </c:pt>
                  <c:pt idx="6">
                    <c:v>32.304043392618745</c:v>
                  </c:pt>
                </c:numCache>
              </c:numRef>
            </c:minus>
          </c:errBars>
          <c:cat>
            <c:strRef>
              <c:f>Лист1!$A$2:$A$8</c:f>
              <c:strCache>
                <c:ptCount val="7"/>
                <c:pt idx="0">
                  <c:v>І- Активний контроль
 (ОА+ГІТ+L-тироксин) </c:v>
                </c:pt>
                <c:pt idx="1">
                  <c:v>ІІІ-Диклофенак натрію</c:v>
                </c:pt>
                <c:pt idx="2">
                  <c:v>IV-Ібупрофен</c:v>
                </c:pt>
                <c:pt idx="3">
                  <c:v>V-Мелоксикам</c:v>
                </c:pt>
                <c:pt idx="4">
                  <c:v>VI-Німесулід</c:v>
                </c:pt>
                <c:pt idx="5">
                  <c:v>VII-Целекоксиб</c:v>
                </c:pt>
                <c:pt idx="6">
                  <c:v>VIII-Парацетамол</c:v>
                </c:pt>
              </c:strCache>
            </c:strRef>
          </c:cat>
          <c:val>
            <c:numRef>
              <c:f>Лист1!$B$2:$B$8</c:f>
              <c:numCache>
                <c:formatCode>0</c:formatCode>
                <c:ptCount val="7"/>
                <c:pt idx="0" formatCode="General">
                  <c:v>100</c:v>
                </c:pt>
                <c:pt idx="1">
                  <c:v>312.19512195121933</c:v>
                </c:pt>
                <c:pt idx="2">
                  <c:v>243.90243902439033</c:v>
                </c:pt>
                <c:pt idx="3">
                  <c:v>204.39024390243921</c:v>
                </c:pt>
                <c:pt idx="4">
                  <c:v>234.14634146341467</c:v>
                </c:pt>
                <c:pt idx="5">
                  <c:v>192.68292682926835</c:v>
                </c:pt>
                <c:pt idx="6">
                  <c:v>215.60975609756093</c:v>
                </c:pt>
              </c:numCache>
            </c:numRef>
          </c:val>
          <c:extLst xmlns:c16r2="http://schemas.microsoft.com/office/drawing/2015/06/chart">
            <c:ext xmlns:c16="http://schemas.microsoft.com/office/drawing/2014/chart" uri="{C3380CC4-5D6E-409C-BE32-E72D297353CC}">
              <c16:uniqueId val="{00000005-8E92-4F1E-9388-96212B8F241B}"/>
            </c:ext>
          </c:extLst>
        </c:ser>
        <c:gapWidth val="87"/>
        <c:axId val="103456768"/>
        <c:axId val="103458304"/>
      </c:barChart>
      <c:catAx>
        <c:axId val="103456768"/>
        <c:scaling>
          <c:orientation val="minMax"/>
        </c:scaling>
        <c:axPos val="l"/>
        <c:numFmt formatCode="General" sourceLinked="1"/>
        <c:majorTickMark val="cross"/>
        <c:tickLblPos val="nextTo"/>
        <c:spPr>
          <a:ln w="3165">
            <a:solidFill>
              <a:srgbClr val="000000"/>
            </a:solidFill>
            <a:prstDash val="solid"/>
          </a:ln>
        </c:spPr>
        <c:txPr>
          <a:bodyPr rot="0" vert="horz" anchor="t" anchorCtr="0"/>
          <a:lstStyle/>
          <a:p>
            <a:pPr>
              <a:defRPr sz="1398" b="0" i="0" u="none" strike="noStrike" baseline="0">
                <a:solidFill>
                  <a:sysClr val="windowText" lastClr="000000"/>
                </a:solidFill>
                <a:latin typeface="Times New Roman"/>
                <a:ea typeface="Times New Roman"/>
                <a:cs typeface="Times New Roman"/>
              </a:defRPr>
            </a:pPr>
            <a:endParaRPr lang="ru-RU"/>
          </a:p>
        </c:txPr>
        <c:crossAx val="103458304"/>
        <c:crosses val="autoZero"/>
        <c:auto val="1"/>
        <c:lblAlgn val="ctr"/>
        <c:lblOffset val="1"/>
      </c:catAx>
      <c:valAx>
        <c:axId val="103458304"/>
        <c:scaling>
          <c:orientation val="minMax"/>
        </c:scaling>
        <c:axPos val="b"/>
        <c:majorGridlines/>
        <c:title>
          <c:tx>
            <c:rich>
              <a:bodyPr/>
              <a:lstStyle/>
              <a:p>
                <a:pPr>
                  <a:defRPr sz="1200" b="0" i="0" u="none" strike="noStrike" baseline="0">
                    <a:solidFill>
                      <a:srgbClr val="000000"/>
                    </a:solidFill>
                    <a:latin typeface="Times New Roman"/>
                    <a:ea typeface="Times New Roman"/>
                    <a:cs typeface="Times New Roman"/>
                  </a:defRPr>
                </a:pPr>
                <a:r>
                  <a:rPr lang="ru-RU" sz="1200" b="1"/>
                  <a:t>Больовий поріг, </a:t>
                </a:r>
                <a:r>
                  <a:rPr lang="ru-RU" sz="1200"/>
                  <a:t>% </a:t>
                </a:r>
              </a:p>
            </c:rich>
          </c:tx>
          <c:layout>
            <c:manualLayout>
              <c:xMode val="edge"/>
              <c:yMode val="edge"/>
              <c:x val="0.5410225334736386"/>
              <c:y val="0.90069767441860482"/>
            </c:manualLayout>
          </c:layout>
          <c:spPr>
            <a:noFill/>
            <a:ln w="25319">
              <a:noFill/>
            </a:ln>
          </c:spPr>
        </c:title>
        <c:numFmt formatCode="0" sourceLinked="0"/>
        <c:tickLblPos val="nextTo"/>
        <c:spPr>
          <a:ln w="3165">
            <a:solidFill>
              <a:srgbClr val="000000"/>
            </a:solidFill>
            <a:prstDash val="solid"/>
          </a:ln>
        </c:spPr>
        <c:txPr>
          <a:bodyPr rot="0" vert="horz"/>
          <a:lstStyle/>
          <a:p>
            <a:pPr>
              <a:defRPr sz="998" b="1" i="0" u="none" strike="noStrike" baseline="0">
                <a:solidFill>
                  <a:srgbClr val="000000"/>
                </a:solidFill>
                <a:latin typeface="Arial Narrow"/>
                <a:ea typeface="Arial Narrow"/>
                <a:cs typeface="Arial Narrow"/>
              </a:defRPr>
            </a:pPr>
            <a:endParaRPr lang="ru-RU"/>
          </a:p>
        </c:txPr>
        <c:crossAx val="103456768"/>
        <c:crosses val="autoZero"/>
        <c:crossBetween val="between"/>
      </c:valAx>
      <c:spPr>
        <a:solidFill>
          <a:srgbClr val="FFFFFF"/>
        </a:solidFill>
        <a:ln w="12660">
          <a:solidFill>
            <a:srgbClr val="808080"/>
          </a:solidFill>
          <a:prstDash val="solid"/>
        </a:ln>
      </c:spPr>
    </c:plotArea>
    <c:plotVisOnly val="1"/>
    <c:dispBlanksAs val="gap"/>
  </c:chart>
  <c:spPr>
    <a:noFill/>
    <a:ln>
      <a:solidFill>
        <a:schemeClr val="bg1">
          <a:lumMod val="75000"/>
        </a:schemeClr>
      </a:solidFill>
    </a:ln>
  </c:spPr>
  <c:txPr>
    <a:bodyPr/>
    <a:lstStyle/>
    <a:p>
      <a:pPr>
        <a:defRPr sz="998" b="1" i="0" u="none" strike="noStrike" baseline="0">
          <a:solidFill>
            <a:srgbClr val="000000"/>
          </a:solidFill>
          <a:latin typeface="Arial"/>
          <a:ea typeface="Arial"/>
          <a:cs typeface="Arial"/>
        </a:defRPr>
      </a:pPr>
      <a:endParaRPr lang="ru-RU"/>
    </a:p>
  </c:txPr>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1369793754522646"/>
          <c:y val="5.9180534614024317E-2"/>
          <c:w val="0.74174646827234858"/>
          <c:h val="0.79731486401623097"/>
        </c:manualLayout>
      </c:layout>
      <c:barChart>
        <c:barDir val="bar"/>
        <c:grouping val="clustered"/>
        <c:ser>
          <c:idx val="1"/>
          <c:order val="0"/>
          <c:tx>
            <c:strRef>
              <c:f>Лист1!$A$2</c:f>
              <c:strCache>
                <c:ptCount val="1"/>
                <c:pt idx="0">
                  <c:v>I</c:v>
                </c:pt>
              </c:strCache>
            </c:strRef>
          </c:tx>
          <c:spPr>
            <a:solidFill>
              <a:srgbClr val="5B9BD5">
                <a:lumMod val="75000"/>
              </a:srgbClr>
            </a:solid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Лист1!$B$2:$I$2</c:f>
              <c:numCache>
                <c:formatCode>0.0</c:formatCode>
                <c:ptCount val="8"/>
                <c:pt idx="0">
                  <c:v>-2.4087591240875885</c:v>
                </c:pt>
                <c:pt idx="1">
                  <c:v>-6.3694267515923553</c:v>
                </c:pt>
                <c:pt idx="2">
                  <c:v>12.340966921119588</c:v>
                </c:pt>
                <c:pt idx="3">
                  <c:v>15.710823909531488</c:v>
                </c:pt>
                <c:pt idx="4">
                  <c:v>36.000000000000007</c:v>
                </c:pt>
                <c:pt idx="5">
                  <c:v>7.0054945054945268</c:v>
                </c:pt>
                <c:pt idx="6">
                  <c:v>17.8</c:v>
                </c:pt>
                <c:pt idx="7">
                  <c:v>11.5</c:v>
                </c:pt>
              </c:numCache>
            </c:numRef>
          </c:val>
          <c:extLst xmlns:c16r2="http://schemas.microsoft.com/office/drawing/2015/06/chart">
            <c:ext xmlns:c16="http://schemas.microsoft.com/office/drawing/2014/chart" uri="{C3380CC4-5D6E-409C-BE32-E72D297353CC}">
              <c16:uniqueId val="{00000000-3D84-40EF-B748-473A29FBF892}"/>
            </c:ext>
          </c:extLst>
        </c:ser>
        <c:ser>
          <c:idx val="0"/>
          <c:order val="1"/>
          <c:tx>
            <c:strRef>
              <c:f>Лист1!$A$3</c:f>
              <c:strCache>
                <c:ptCount val="1"/>
                <c:pt idx="0">
                  <c:v>ІIІ</c:v>
                </c:pt>
              </c:strCache>
            </c:strRef>
          </c:tx>
          <c:spPr>
            <a:solidFill>
              <a:sysClr val="windowText" lastClr="000000">
                <a:lumMod val="85000"/>
                <a:lumOff val="15000"/>
              </a:sysClr>
            </a:solidFill>
            <a:ln>
              <a:solidFill>
                <a:srgbClr val="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Лист1!$B$3:$I$3</c:f>
              <c:numCache>
                <c:formatCode>0.0</c:formatCode>
                <c:ptCount val="8"/>
                <c:pt idx="0">
                  <c:v>-31.428571428571427</c:v>
                </c:pt>
                <c:pt idx="1">
                  <c:v>-39.87341772151899</c:v>
                </c:pt>
                <c:pt idx="2">
                  <c:v>-35.668789808917211</c:v>
                </c:pt>
                <c:pt idx="3">
                  <c:v>-36.262866191607266</c:v>
                </c:pt>
                <c:pt idx="4">
                  <c:v>-47.787610619469021</c:v>
                </c:pt>
                <c:pt idx="5">
                  <c:v>-29.13165266106444</c:v>
                </c:pt>
                <c:pt idx="6">
                  <c:v>-49.8</c:v>
                </c:pt>
                <c:pt idx="7">
                  <c:v>-48.4</c:v>
                </c:pt>
              </c:numCache>
            </c:numRef>
          </c:val>
          <c:extLst xmlns:c16r2="http://schemas.microsoft.com/office/drawing/2015/06/chart">
            <c:ext xmlns:c16="http://schemas.microsoft.com/office/drawing/2014/chart" uri="{C3380CC4-5D6E-409C-BE32-E72D297353CC}">
              <c16:uniqueId val="{00000001-3D84-40EF-B748-473A29FBF892}"/>
            </c:ext>
          </c:extLst>
        </c:ser>
        <c:ser>
          <c:idx val="2"/>
          <c:order val="2"/>
          <c:tx>
            <c:strRef>
              <c:f>Лист1!$A$4</c:f>
              <c:strCache>
                <c:ptCount val="1"/>
                <c:pt idx="0">
                  <c:v>V</c:v>
                </c:pt>
              </c:strCache>
            </c:strRef>
          </c:tx>
          <c:spPr>
            <a:pattFill prst="wdUpDiag">
              <a:fgClr>
                <a:sysClr val="windowText" lastClr="000000"/>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Лист1!$B$4:$I$4</c:f>
              <c:numCache>
                <c:formatCode>0.0</c:formatCode>
                <c:ptCount val="8"/>
                <c:pt idx="0">
                  <c:v>-22.627737226277361</c:v>
                </c:pt>
                <c:pt idx="1">
                  <c:v>-25.496688741721837</c:v>
                </c:pt>
                <c:pt idx="2">
                  <c:v>-22.704081632653061</c:v>
                </c:pt>
                <c:pt idx="3">
                  <c:v>-28.125000000000011</c:v>
                </c:pt>
                <c:pt idx="4">
                  <c:v>-32.142857142857139</c:v>
                </c:pt>
                <c:pt idx="5">
                  <c:v>-21.067415730337082</c:v>
                </c:pt>
                <c:pt idx="6">
                  <c:v>-44.6</c:v>
                </c:pt>
                <c:pt idx="7">
                  <c:v>-33</c:v>
                </c:pt>
              </c:numCache>
            </c:numRef>
          </c:val>
          <c:extLst xmlns:c16r2="http://schemas.microsoft.com/office/drawing/2015/06/chart">
            <c:ext xmlns:c16="http://schemas.microsoft.com/office/drawing/2014/chart" uri="{C3380CC4-5D6E-409C-BE32-E72D297353CC}">
              <c16:uniqueId val="{00000002-3D84-40EF-B748-473A29FBF892}"/>
            </c:ext>
          </c:extLst>
        </c:ser>
        <c:ser>
          <c:idx val="3"/>
          <c:order val="3"/>
          <c:tx>
            <c:strRef>
              <c:f>Лист1!$A$5</c:f>
              <c:strCache>
                <c:ptCount val="1"/>
                <c:pt idx="0">
                  <c:v>VІІ</c:v>
                </c:pt>
              </c:strCache>
            </c:strRef>
          </c:tx>
          <c:spPr>
            <a:solidFill>
              <a:sysClr val="window" lastClr="FFFFFF">
                <a:lumMod val="65000"/>
              </a:sysClr>
            </a:solid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Лист1!$B$5:$I$5</c:f>
              <c:numCache>
                <c:formatCode>0.0</c:formatCode>
                <c:ptCount val="8"/>
                <c:pt idx="0">
                  <c:v>-22.535211267605625</c:v>
                </c:pt>
                <c:pt idx="1">
                  <c:v>-27.027027027027028</c:v>
                </c:pt>
                <c:pt idx="2">
                  <c:v>-11.675126903553302</c:v>
                </c:pt>
                <c:pt idx="3">
                  <c:v>-20.155038759689923</c:v>
                </c:pt>
                <c:pt idx="4">
                  <c:v>-20.720720720720703</c:v>
                </c:pt>
                <c:pt idx="5">
                  <c:v>-16.434540389972131</c:v>
                </c:pt>
                <c:pt idx="6">
                  <c:v>-35.6</c:v>
                </c:pt>
                <c:pt idx="7">
                  <c:v>-34</c:v>
                </c:pt>
              </c:numCache>
            </c:numRef>
          </c:val>
          <c:extLst xmlns:c16r2="http://schemas.microsoft.com/office/drawing/2015/06/chart">
            <c:ext xmlns:c16="http://schemas.microsoft.com/office/drawing/2014/chart" uri="{C3380CC4-5D6E-409C-BE32-E72D297353CC}">
              <c16:uniqueId val="{00000003-3D84-40EF-B748-473A29FBF892}"/>
            </c:ext>
          </c:extLst>
        </c:ser>
        <c:ser>
          <c:idx val="4"/>
          <c:order val="4"/>
          <c:tx>
            <c:strRef>
              <c:f>Лист1!$A$6</c:f>
              <c:strCache>
                <c:ptCount val="1"/>
                <c:pt idx="0">
                  <c:v>ІХ</c:v>
                </c:pt>
              </c:strCache>
            </c:strRef>
          </c:tx>
          <c:spPr>
            <a:pattFill prst="smCheck">
              <a:fgClr>
                <a:sysClr val="windowText" lastClr="000000"/>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Лист1!$B$6:$I$6</c:f>
              <c:numCache>
                <c:formatCode>0.0</c:formatCode>
                <c:ptCount val="8"/>
                <c:pt idx="0">
                  <c:v>-10.357142857142858</c:v>
                </c:pt>
                <c:pt idx="1">
                  <c:v>-6.25</c:v>
                </c:pt>
                <c:pt idx="2">
                  <c:v>8.5497150094996837</c:v>
                </c:pt>
                <c:pt idx="3">
                  <c:v>-4.7619047619047556</c:v>
                </c:pt>
                <c:pt idx="4">
                  <c:v>0</c:v>
                </c:pt>
                <c:pt idx="5">
                  <c:v>-3.6111111111110992</c:v>
                </c:pt>
                <c:pt idx="6">
                  <c:v>-9.5</c:v>
                </c:pt>
                <c:pt idx="7">
                  <c:v>-17.7</c:v>
                </c:pt>
              </c:numCache>
            </c:numRef>
          </c:val>
          <c:extLst xmlns:c16r2="http://schemas.microsoft.com/office/drawing/2015/06/chart">
            <c:ext xmlns:c16="http://schemas.microsoft.com/office/drawing/2014/chart" uri="{C3380CC4-5D6E-409C-BE32-E72D297353CC}">
              <c16:uniqueId val="{00000004-3D84-40EF-B748-473A29FBF892}"/>
            </c:ext>
          </c:extLst>
        </c:ser>
        <c:ser>
          <c:idx val="5"/>
          <c:order val="5"/>
          <c:tx>
            <c:strRef>
              <c:f>Лист1!$A$7</c:f>
              <c:strCache>
                <c:ptCount val="1"/>
                <c:pt idx="0">
                  <c:v>ХІ</c:v>
                </c:pt>
              </c:strCache>
            </c:strRef>
          </c:tx>
          <c:spPr>
            <a:pattFill prst="pct80">
              <a:fgClr>
                <a:sysClr val="windowText" lastClr="000000">
                  <a:lumMod val="65000"/>
                  <a:lumOff val="35000"/>
                </a:sysClr>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Лист1!$B$7:$I$7</c:f>
              <c:numCache>
                <c:formatCode>0.0</c:formatCode>
                <c:ptCount val="8"/>
                <c:pt idx="0">
                  <c:v>-18.283582089552226</c:v>
                </c:pt>
                <c:pt idx="1">
                  <c:v>-26.666666666666671</c:v>
                </c:pt>
                <c:pt idx="2">
                  <c:v>-12.269548633185005</c:v>
                </c:pt>
                <c:pt idx="3">
                  <c:v>-16.865552903739058</c:v>
                </c:pt>
                <c:pt idx="4">
                  <c:v>-27.966101694915249</c:v>
                </c:pt>
                <c:pt idx="5">
                  <c:v>-16.759776536312831</c:v>
                </c:pt>
                <c:pt idx="6">
                  <c:v>-35.4</c:v>
                </c:pt>
                <c:pt idx="7">
                  <c:v>-32.6</c:v>
                </c:pt>
              </c:numCache>
            </c:numRef>
          </c:val>
          <c:extLst xmlns:c16r2="http://schemas.microsoft.com/office/drawing/2015/06/chart">
            <c:ext xmlns:c16="http://schemas.microsoft.com/office/drawing/2014/chart" uri="{C3380CC4-5D6E-409C-BE32-E72D297353CC}">
              <c16:uniqueId val="{00000005-3D84-40EF-B748-473A29FBF892}"/>
            </c:ext>
          </c:extLst>
        </c:ser>
        <c:ser>
          <c:idx val="6"/>
          <c:order val="6"/>
          <c:tx>
            <c:strRef>
              <c:f>Лист1!$A$8</c:f>
              <c:strCache>
                <c:ptCount val="1"/>
                <c:pt idx="0">
                  <c:v>ХІІІ</c:v>
                </c:pt>
              </c:strCache>
            </c:strRef>
          </c:tx>
          <c:spPr>
            <a:pattFill prst="lgCheck">
              <a:fgClr>
                <a:sysClr val="window" lastClr="FFFFFF">
                  <a:lumMod val="50000"/>
                </a:sysClr>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Лист1!$B$8:$I$8</c:f>
              <c:numCache>
                <c:formatCode>0.0</c:formatCode>
                <c:ptCount val="8"/>
                <c:pt idx="0">
                  <c:v>-15.750915750915748</c:v>
                </c:pt>
                <c:pt idx="1">
                  <c:v>-18.120805369127531</c:v>
                </c:pt>
                <c:pt idx="2">
                  <c:v>-4.1087231352718092</c:v>
                </c:pt>
                <c:pt idx="3">
                  <c:v>-10.686427457098294</c:v>
                </c:pt>
                <c:pt idx="4">
                  <c:v>-10.839160839160847</c:v>
                </c:pt>
                <c:pt idx="5">
                  <c:v>-8.6592178770949655</c:v>
                </c:pt>
                <c:pt idx="6">
                  <c:v>-15</c:v>
                </c:pt>
                <c:pt idx="7">
                  <c:v>-28.8</c:v>
                </c:pt>
              </c:numCache>
            </c:numRef>
          </c:val>
          <c:extLst xmlns:c16r2="http://schemas.microsoft.com/office/drawing/2015/06/chart">
            <c:ext xmlns:c16="http://schemas.microsoft.com/office/drawing/2014/chart" uri="{C3380CC4-5D6E-409C-BE32-E72D297353CC}">
              <c16:uniqueId val="{00000006-3D84-40EF-B748-473A29FBF892}"/>
            </c:ext>
          </c:extLst>
        </c:ser>
        <c:gapWidth val="71"/>
        <c:axId val="103481728"/>
        <c:axId val="103483264"/>
      </c:barChart>
      <c:catAx>
        <c:axId val="103481728"/>
        <c:scaling>
          <c:orientation val="minMax"/>
        </c:scaling>
        <c:axPos val="l"/>
        <c:majorGridlines/>
        <c:numFmt formatCode="General" sourceLinked="1"/>
        <c:tickLblPos val="low"/>
        <c:spPr>
          <a:ln w="3162">
            <a:solidFill>
              <a:srgbClr val="000000"/>
            </a:solidFill>
            <a:prstDash val="solid"/>
          </a:ln>
        </c:spPr>
        <c:txPr>
          <a:bodyPr rot="0" vert="horz"/>
          <a:lstStyle/>
          <a:p>
            <a:pPr>
              <a:defRPr sz="1200" b="1" i="0" u="none" strike="noStrike" spc="-30" baseline="0">
                <a:solidFill>
                  <a:srgbClr val="000000"/>
                </a:solidFill>
                <a:latin typeface="Times New Roman" panose="02020603050405020304" pitchFamily="18" charset="0"/>
                <a:ea typeface="Times New Roman"/>
                <a:cs typeface="Times New Roman" panose="02020603050405020304" pitchFamily="18" charset="0"/>
              </a:defRPr>
            </a:pPr>
            <a:endParaRPr lang="ru-RU"/>
          </a:p>
        </c:txPr>
        <c:crossAx val="103483264"/>
        <c:crosses val="autoZero"/>
        <c:lblAlgn val="ctr"/>
        <c:lblOffset val="1"/>
      </c:catAx>
      <c:valAx>
        <c:axId val="103483264"/>
        <c:scaling>
          <c:orientation val="minMax"/>
        </c:scaling>
        <c:axPos val="b"/>
        <c:title>
          <c:tx>
            <c:rich>
              <a:bodyPr/>
              <a:lstStyle/>
              <a:p>
                <a:pPr>
                  <a:defRPr sz="999" b="1" i="0" u="none" strike="noStrike" baseline="0">
                    <a:solidFill>
                      <a:srgbClr val="000000"/>
                    </a:solidFill>
                    <a:latin typeface="Arial"/>
                    <a:ea typeface="Arial"/>
                    <a:cs typeface="Arial"/>
                  </a:defRPr>
                </a:pPr>
                <a:r>
                  <a:rPr lang="ru-RU" sz="1394" b="0" i="0" u="none" strike="noStrike" baseline="0">
                    <a:solidFill>
                      <a:srgbClr val="000000"/>
                    </a:solidFill>
                    <a:latin typeface="Times New Roman"/>
                    <a:cs typeface="Times New Roman"/>
                  </a:rPr>
                  <a:t>Зміна концентрації, % </a:t>
                </a:r>
              </a:p>
            </c:rich>
          </c:tx>
          <c:layout>
            <c:manualLayout>
              <c:xMode val="edge"/>
              <c:yMode val="edge"/>
              <c:x val="0.395486090841349"/>
              <c:y val="0.91742063386857831"/>
            </c:manualLayout>
          </c:layout>
          <c:spPr>
            <a:noFill/>
            <a:ln w="25299">
              <a:noFill/>
            </a:ln>
          </c:spPr>
        </c:title>
        <c:numFmt formatCode="0" sourceLinked="0"/>
        <c:tickLblPos val="nextTo"/>
        <c:spPr>
          <a:ln w="3162">
            <a:solidFill>
              <a:srgbClr val="000000"/>
            </a:solidFill>
            <a:prstDash val="solid"/>
          </a:ln>
        </c:spPr>
        <c:txPr>
          <a:bodyPr rot="0" vert="horz"/>
          <a:lstStyle/>
          <a:p>
            <a:pPr>
              <a:defRPr sz="999" b="1" i="0" u="none" strike="noStrike" baseline="0">
                <a:solidFill>
                  <a:srgbClr val="000000"/>
                </a:solidFill>
                <a:latin typeface="Arial Narrow"/>
                <a:ea typeface="Arial Narrow"/>
                <a:cs typeface="Arial Narrow"/>
              </a:defRPr>
            </a:pPr>
            <a:endParaRPr lang="ru-RU"/>
          </a:p>
        </c:txPr>
        <c:crossAx val="103481728"/>
        <c:crosses val="autoZero"/>
        <c:crossBetween val="between"/>
      </c:valAx>
      <c:spPr>
        <a:solidFill>
          <a:srgbClr val="FFFFFF"/>
        </a:solidFill>
        <a:ln w="12650">
          <a:solidFill>
            <a:sysClr val="windowText" lastClr="000000"/>
          </a:solidFill>
          <a:prstDash val="solid"/>
        </a:ln>
      </c:spPr>
    </c:plotArea>
    <c:legend>
      <c:legendPos val="r"/>
      <c:layout>
        <c:manualLayout>
          <c:xMode val="edge"/>
          <c:yMode val="edge"/>
          <c:x val="0.82114206036745407"/>
          <c:y val="0.22418733853554501"/>
          <c:w val="0.16712959317585294"/>
          <c:h val="0.55910755263336209"/>
        </c:manualLayout>
      </c:layout>
      <c:spPr>
        <a:solidFill>
          <a:sysClr val="window" lastClr="FFFFFF"/>
        </a:solidFill>
        <a:ln>
          <a:solidFill>
            <a:sysClr val="window" lastClr="FFFFFF">
              <a:lumMod val="50000"/>
            </a:sysClr>
          </a:solidFill>
        </a:ln>
      </c:spPr>
      <c:txPr>
        <a:bodyPr/>
        <a:lstStyle/>
        <a:p>
          <a:pPr>
            <a:defRPr sz="1200" spc="-40" baseline="0">
              <a:latin typeface="Times New Roman" panose="02020603050405020304" pitchFamily="18" charset="0"/>
              <a:cs typeface="Times New Roman" panose="02020603050405020304" pitchFamily="18" charset="0"/>
            </a:defRPr>
          </a:pPr>
          <a:endParaRPr lang="ru-RU"/>
        </a:p>
      </c:txPr>
    </c:legend>
    <c:plotVisOnly val="1"/>
    <c:dispBlanksAs val="gap"/>
  </c:chart>
  <c:spPr>
    <a:noFill/>
    <a:ln>
      <a:solidFill>
        <a:sysClr val="window" lastClr="FFFFFF">
          <a:lumMod val="65000"/>
        </a:sysClr>
      </a:solidFill>
    </a:ln>
  </c:spPr>
  <c:txPr>
    <a:bodyPr/>
    <a:lstStyle/>
    <a:p>
      <a:pPr>
        <a:defRPr sz="999" b="1" i="0" u="none" strike="noStrike" baseline="0">
          <a:solidFill>
            <a:srgbClr val="000000"/>
          </a:solidFill>
          <a:latin typeface="Arial"/>
          <a:ea typeface="Arial"/>
          <a:cs typeface="Arial"/>
        </a:defRPr>
      </a:pPr>
      <a:endParaRPr lang="ru-RU"/>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24684129376980957"/>
          <c:y val="4.6260505315623417E-2"/>
          <c:w val="0.6591553890478038"/>
          <c:h val="0.79731486401623097"/>
        </c:manualLayout>
      </c:layout>
      <c:barChart>
        <c:barDir val="bar"/>
        <c:grouping val="clustered"/>
        <c:ser>
          <c:idx val="1"/>
          <c:order val="0"/>
          <c:tx>
            <c:strRef>
              <c:f>Лист1!$A$2</c:f>
              <c:strCache>
                <c:ptCount val="1"/>
                <c:pt idx="0">
                  <c:v>IІ</c:v>
                </c:pt>
              </c:strCache>
            </c:strRef>
          </c:tx>
          <c:spPr>
            <a:solidFill>
              <a:srgbClr val="5B9BD5">
                <a:lumMod val="75000"/>
              </a:srgbClr>
            </a:solid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Лист1!$B$2:$I$2</c:f>
              <c:numCache>
                <c:formatCode>0.00</c:formatCode>
                <c:ptCount val="8"/>
                <c:pt idx="0">
                  <c:v>-12.917271407837433</c:v>
                </c:pt>
                <c:pt idx="1">
                  <c:v>-11.111111111111109</c:v>
                </c:pt>
                <c:pt idx="2">
                  <c:v>6.3291139240506222</c:v>
                </c:pt>
                <c:pt idx="3">
                  <c:v>-2.5898724391186771</c:v>
                </c:pt>
                <c:pt idx="4">
                  <c:v>-3.7815126050420256</c:v>
                </c:pt>
                <c:pt idx="5">
                  <c:v>-0.89786756453422689</c:v>
                </c:pt>
                <c:pt idx="6" formatCode="0.0">
                  <c:v>-1.3210039630118913</c:v>
                </c:pt>
                <c:pt idx="7" formatCode="0.0">
                  <c:v>0.70422535211267534</c:v>
                </c:pt>
              </c:numCache>
            </c:numRef>
          </c:val>
          <c:extLst xmlns:c16r2="http://schemas.microsoft.com/office/drawing/2015/06/chart">
            <c:ext xmlns:c16="http://schemas.microsoft.com/office/drawing/2014/chart" uri="{C3380CC4-5D6E-409C-BE32-E72D297353CC}">
              <c16:uniqueId val="{00000000-AB4B-45C8-BE2E-016103CB8954}"/>
            </c:ext>
          </c:extLst>
        </c:ser>
        <c:ser>
          <c:idx val="0"/>
          <c:order val="1"/>
          <c:tx>
            <c:strRef>
              <c:f>Лист1!$A$3</c:f>
              <c:strCache>
                <c:ptCount val="1"/>
                <c:pt idx="0">
                  <c:v>IV</c:v>
                </c:pt>
              </c:strCache>
            </c:strRef>
          </c:tx>
          <c:spPr>
            <a:solidFill>
              <a:sysClr val="windowText" lastClr="000000">
                <a:lumMod val="85000"/>
                <a:lumOff val="15000"/>
              </a:sysClr>
            </a:solidFill>
            <a:ln>
              <a:solidFill>
                <a:srgbClr val="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Лист1!$B$3:$I$3</c:f>
              <c:numCache>
                <c:formatCode>0.00</c:formatCode>
                <c:ptCount val="8"/>
                <c:pt idx="0">
                  <c:v>-52.89855072463768</c:v>
                </c:pt>
                <c:pt idx="1">
                  <c:v>-53.797468354430379</c:v>
                </c:pt>
                <c:pt idx="2">
                  <c:v>-38.310038119440904</c:v>
                </c:pt>
                <c:pt idx="3">
                  <c:v>-40</c:v>
                </c:pt>
                <c:pt idx="4">
                  <c:v>-54.506437768240325</c:v>
                </c:pt>
                <c:pt idx="5">
                  <c:v>-31.966979789353829</c:v>
                </c:pt>
                <c:pt idx="6" formatCode="0.0">
                  <c:v>-52.122015915119384</c:v>
                </c:pt>
                <c:pt idx="7" formatCode="0.0">
                  <c:v>-54.513148542999289</c:v>
                </c:pt>
              </c:numCache>
            </c:numRef>
          </c:val>
          <c:extLst xmlns:c16r2="http://schemas.microsoft.com/office/drawing/2015/06/chart">
            <c:ext xmlns:c16="http://schemas.microsoft.com/office/drawing/2014/chart" uri="{C3380CC4-5D6E-409C-BE32-E72D297353CC}">
              <c16:uniqueId val="{00000001-AB4B-45C8-BE2E-016103CB8954}"/>
            </c:ext>
          </c:extLst>
        </c:ser>
        <c:ser>
          <c:idx val="2"/>
          <c:order val="2"/>
          <c:tx>
            <c:strRef>
              <c:f>Лист1!$A$4</c:f>
              <c:strCache>
                <c:ptCount val="1"/>
                <c:pt idx="0">
                  <c:v>VI</c:v>
                </c:pt>
              </c:strCache>
            </c:strRef>
          </c:tx>
          <c:spPr>
            <a:pattFill prst="wdUpDiag">
              <a:fgClr>
                <a:sysClr val="windowText" lastClr="000000"/>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Лист1!$B$4:$I$4</c:f>
              <c:numCache>
                <c:formatCode>0.00</c:formatCode>
                <c:ptCount val="8"/>
                <c:pt idx="0">
                  <c:v>-48.965517241379324</c:v>
                </c:pt>
                <c:pt idx="1">
                  <c:v>-51.592356687898089</c:v>
                </c:pt>
                <c:pt idx="2">
                  <c:v>-29.095509171410502</c:v>
                </c:pt>
                <c:pt idx="3">
                  <c:v>-29.554655870445337</c:v>
                </c:pt>
                <c:pt idx="4">
                  <c:v>-38.596491228070185</c:v>
                </c:pt>
                <c:pt idx="5">
                  <c:v>-25.344352617079878</c:v>
                </c:pt>
                <c:pt idx="6" formatCode="0.0">
                  <c:v>-45.161290322580662</c:v>
                </c:pt>
                <c:pt idx="7" formatCode="0.0">
                  <c:v>-49.664429530201346</c:v>
                </c:pt>
              </c:numCache>
            </c:numRef>
          </c:val>
          <c:extLst xmlns:c16r2="http://schemas.microsoft.com/office/drawing/2015/06/chart">
            <c:ext xmlns:c16="http://schemas.microsoft.com/office/drawing/2014/chart" uri="{C3380CC4-5D6E-409C-BE32-E72D297353CC}">
              <c16:uniqueId val="{00000002-AB4B-45C8-BE2E-016103CB8954}"/>
            </c:ext>
          </c:extLst>
        </c:ser>
        <c:ser>
          <c:idx val="3"/>
          <c:order val="3"/>
          <c:tx>
            <c:strRef>
              <c:f>Лист1!$A$5</c:f>
              <c:strCache>
                <c:ptCount val="1"/>
                <c:pt idx="0">
                  <c:v>VІІI</c:v>
                </c:pt>
              </c:strCache>
            </c:strRef>
          </c:tx>
          <c:spPr>
            <a:solidFill>
              <a:sysClr val="window" lastClr="FFFFFF">
                <a:lumMod val="65000"/>
              </a:sysClr>
            </a:solid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Лист1!$B$5:$I$5</c:f>
              <c:numCache>
                <c:formatCode>0.00</c:formatCode>
                <c:ptCount val="8"/>
                <c:pt idx="0">
                  <c:v>-41.544117647058819</c:v>
                </c:pt>
                <c:pt idx="1">
                  <c:v>-46.153846153846111</c:v>
                </c:pt>
                <c:pt idx="2">
                  <c:v>-18.833227647431826</c:v>
                </c:pt>
                <c:pt idx="3">
                  <c:v>-20.717131474103599</c:v>
                </c:pt>
                <c:pt idx="4">
                  <c:v>-29.31034482758621</c:v>
                </c:pt>
                <c:pt idx="5">
                  <c:v>-21.270718232044199</c:v>
                </c:pt>
                <c:pt idx="6" formatCode="0.0">
                  <c:v>-36.807387862796809</c:v>
                </c:pt>
                <c:pt idx="7" formatCode="0.0">
                  <c:v>-36</c:v>
                </c:pt>
              </c:numCache>
            </c:numRef>
          </c:val>
          <c:extLst xmlns:c16r2="http://schemas.microsoft.com/office/drawing/2015/06/chart">
            <c:ext xmlns:c16="http://schemas.microsoft.com/office/drawing/2014/chart" uri="{C3380CC4-5D6E-409C-BE32-E72D297353CC}">
              <c16:uniqueId val="{00000003-AB4B-45C8-BE2E-016103CB8954}"/>
            </c:ext>
          </c:extLst>
        </c:ser>
        <c:ser>
          <c:idx val="4"/>
          <c:order val="4"/>
          <c:tx>
            <c:strRef>
              <c:f>Лист1!$A$6</c:f>
              <c:strCache>
                <c:ptCount val="1"/>
                <c:pt idx="0">
                  <c:v>X</c:v>
                </c:pt>
              </c:strCache>
            </c:strRef>
          </c:tx>
          <c:spPr>
            <a:pattFill prst="smCheck">
              <a:fgClr>
                <a:sysClr val="windowText" lastClr="000000"/>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Лист1!$B$6:$I$6</c:f>
              <c:numCache>
                <c:formatCode>0.00</c:formatCode>
                <c:ptCount val="8"/>
                <c:pt idx="0">
                  <c:v>-33.333333333333336</c:v>
                </c:pt>
                <c:pt idx="1">
                  <c:v>-35.55555555555555</c:v>
                </c:pt>
                <c:pt idx="2">
                  <c:v>6.0202788339670503</c:v>
                </c:pt>
                <c:pt idx="3">
                  <c:v>-4.4354838709677473</c:v>
                </c:pt>
                <c:pt idx="4">
                  <c:v>-10.822510822510822</c:v>
                </c:pt>
                <c:pt idx="5">
                  <c:v>-3.3994334277620331</c:v>
                </c:pt>
                <c:pt idx="6" formatCode="0.0">
                  <c:v>-12.648221343873523</c:v>
                </c:pt>
                <c:pt idx="7" formatCode="0.0">
                  <c:v>-17.594654788418733</c:v>
                </c:pt>
              </c:numCache>
            </c:numRef>
          </c:val>
          <c:extLst xmlns:c16r2="http://schemas.microsoft.com/office/drawing/2015/06/chart">
            <c:ext xmlns:c16="http://schemas.microsoft.com/office/drawing/2014/chart" uri="{C3380CC4-5D6E-409C-BE32-E72D297353CC}">
              <c16:uniqueId val="{00000004-AB4B-45C8-BE2E-016103CB8954}"/>
            </c:ext>
          </c:extLst>
        </c:ser>
        <c:ser>
          <c:idx val="5"/>
          <c:order val="5"/>
          <c:tx>
            <c:strRef>
              <c:f>Лист1!$A$7</c:f>
              <c:strCache>
                <c:ptCount val="1"/>
                <c:pt idx="0">
                  <c:v>ХІI</c:v>
                </c:pt>
              </c:strCache>
            </c:strRef>
          </c:tx>
          <c:spPr>
            <a:pattFill prst="pct80">
              <a:fgClr>
                <a:sysClr val="windowText" lastClr="000000">
                  <a:lumMod val="65000"/>
                  <a:lumOff val="35000"/>
                </a:sysClr>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Лист1!$B$7:$I$7</c:f>
              <c:numCache>
                <c:formatCode>0.00</c:formatCode>
                <c:ptCount val="8"/>
                <c:pt idx="0">
                  <c:v>-42.279411764705898</c:v>
                </c:pt>
                <c:pt idx="1">
                  <c:v>-41.034482758620655</c:v>
                </c:pt>
                <c:pt idx="2">
                  <c:v>-19.375398342893568</c:v>
                </c:pt>
                <c:pt idx="3">
                  <c:v>-21.739130434782606</c:v>
                </c:pt>
                <c:pt idx="4">
                  <c:v>-27.871772039180776</c:v>
                </c:pt>
                <c:pt idx="5">
                  <c:v>-21.220527045769753</c:v>
                </c:pt>
                <c:pt idx="6" formatCode="0.0">
                  <c:v>-36.640211640211625</c:v>
                </c:pt>
                <c:pt idx="7" formatCode="0.0">
                  <c:v>-40.893470790378018</c:v>
                </c:pt>
              </c:numCache>
            </c:numRef>
          </c:val>
          <c:extLst xmlns:c16r2="http://schemas.microsoft.com/office/drawing/2015/06/chart">
            <c:ext xmlns:c16="http://schemas.microsoft.com/office/drawing/2014/chart" uri="{C3380CC4-5D6E-409C-BE32-E72D297353CC}">
              <c16:uniqueId val="{00000005-AB4B-45C8-BE2E-016103CB8954}"/>
            </c:ext>
          </c:extLst>
        </c:ser>
        <c:ser>
          <c:idx val="6"/>
          <c:order val="6"/>
          <c:tx>
            <c:strRef>
              <c:f>Лист1!$A$8</c:f>
              <c:strCache>
                <c:ptCount val="1"/>
                <c:pt idx="0">
                  <c:v>ХІV</c:v>
                </c:pt>
              </c:strCache>
            </c:strRef>
          </c:tx>
          <c:spPr>
            <a:pattFill prst="lgCheck">
              <a:fgClr>
                <a:sysClr val="window" lastClr="FFFFFF">
                  <a:lumMod val="50000"/>
                </a:sysClr>
              </a:fgClr>
              <a:bgClr>
                <a:sysClr val="window" lastClr="FFFFFF"/>
              </a:bgClr>
            </a:pattFill>
            <a:ln>
              <a:solidFill>
                <a:sysClr val="windowText" lastClr="000000"/>
              </a:solidFill>
            </a:ln>
          </c:spPr>
          <c:cat>
            <c:strRef>
              <c:f>Лист1!$B$1:$I$1</c:f>
              <c:strCache>
                <c:ptCount val="8"/>
                <c:pt idx="0">
                  <c:v>IL 1</c:v>
                </c:pt>
                <c:pt idx="1">
                  <c:v>IL 6</c:v>
                </c:pt>
                <c:pt idx="2">
                  <c:v>IL 8</c:v>
                </c:pt>
                <c:pt idx="3">
                  <c:v>ММП-3</c:v>
                </c:pt>
                <c:pt idx="4">
                  <c:v>ММП-9</c:v>
                </c:pt>
                <c:pt idx="5">
                  <c:v>ММП-13</c:v>
                </c:pt>
                <c:pt idx="6">
                  <c:v>ФНП</c:v>
                </c:pt>
                <c:pt idx="7">
                  <c:v>СРП</c:v>
                </c:pt>
              </c:strCache>
            </c:strRef>
          </c:cat>
          <c:val>
            <c:numRef>
              <c:f>Лист1!$B$8:$I$8</c:f>
              <c:numCache>
                <c:formatCode>0.00</c:formatCode>
                <c:ptCount val="8"/>
                <c:pt idx="0">
                  <c:v>-38.014184397163099</c:v>
                </c:pt>
                <c:pt idx="1">
                  <c:v>-38.70967741935484</c:v>
                </c:pt>
                <c:pt idx="2">
                  <c:v>-6.4290260980267364</c:v>
                </c:pt>
                <c:pt idx="3">
                  <c:v>-13.216560509554142</c:v>
                </c:pt>
                <c:pt idx="4">
                  <c:v>-17.948717948717935</c:v>
                </c:pt>
                <c:pt idx="5">
                  <c:v>-9.3220338983050883</c:v>
                </c:pt>
                <c:pt idx="6" formatCode="0.0">
                  <c:v>-17.04697986577181</c:v>
                </c:pt>
                <c:pt idx="7" formatCode="0.0">
                  <c:v>-32.394366197183096</c:v>
                </c:pt>
              </c:numCache>
            </c:numRef>
          </c:val>
          <c:extLst xmlns:c16r2="http://schemas.microsoft.com/office/drawing/2015/06/chart">
            <c:ext xmlns:c16="http://schemas.microsoft.com/office/drawing/2014/chart" uri="{C3380CC4-5D6E-409C-BE32-E72D297353CC}">
              <c16:uniqueId val="{00000006-AB4B-45C8-BE2E-016103CB8954}"/>
            </c:ext>
          </c:extLst>
        </c:ser>
        <c:gapWidth val="71"/>
        <c:axId val="176469120"/>
        <c:axId val="176470656"/>
      </c:barChart>
      <c:catAx>
        <c:axId val="176469120"/>
        <c:scaling>
          <c:orientation val="minMax"/>
        </c:scaling>
        <c:axPos val="l"/>
        <c:majorGridlines/>
        <c:numFmt formatCode="General" sourceLinked="1"/>
        <c:tickLblPos val="low"/>
        <c:spPr>
          <a:ln w="3162">
            <a:solidFill>
              <a:srgbClr val="000000"/>
            </a:solidFill>
            <a:prstDash val="solid"/>
          </a:ln>
        </c:spPr>
        <c:txPr>
          <a:bodyPr rot="0" vert="horz"/>
          <a:lstStyle/>
          <a:p>
            <a:pPr>
              <a:defRPr sz="1200" b="1" i="0" u="none" strike="noStrike" spc="-30" baseline="0">
                <a:solidFill>
                  <a:srgbClr val="000000"/>
                </a:solidFill>
                <a:latin typeface="Times New Roman" panose="02020603050405020304" pitchFamily="18" charset="0"/>
                <a:ea typeface="Times New Roman"/>
                <a:cs typeface="Times New Roman" panose="02020603050405020304" pitchFamily="18" charset="0"/>
              </a:defRPr>
            </a:pPr>
            <a:endParaRPr lang="ru-RU"/>
          </a:p>
        </c:txPr>
        <c:crossAx val="176470656"/>
        <c:crosses val="autoZero"/>
        <c:lblAlgn val="ctr"/>
        <c:lblOffset val="1"/>
      </c:catAx>
      <c:valAx>
        <c:axId val="176470656"/>
        <c:scaling>
          <c:orientation val="minMax"/>
        </c:scaling>
        <c:axPos val="b"/>
        <c:title>
          <c:tx>
            <c:rich>
              <a:bodyPr/>
              <a:lstStyle/>
              <a:p>
                <a:pPr>
                  <a:defRPr sz="999" b="1" i="0" u="none" strike="noStrike" baseline="0">
                    <a:solidFill>
                      <a:srgbClr val="000000"/>
                    </a:solidFill>
                    <a:latin typeface="Arial"/>
                    <a:ea typeface="Arial"/>
                    <a:cs typeface="Arial"/>
                  </a:defRPr>
                </a:pPr>
                <a:r>
                  <a:rPr lang="ru-RU" sz="1394" b="0" i="0" u="none" strike="noStrike" baseline="0">
                    <a:solidFill>
                      <a:srgbClr val="000000"/>
                    </a:solidFill>
                    <a:latin typeface="Times New Roman"/>
                    <a:cs typeface="Times New Roman"/>
                  </a:rPr>
                  <a:t>Зміна концентрації, % </a:t>
                </a:r>
              </a:p>
            </c:rich>
          </c:tx>
          <c:layout>
            <c:manualLayout>
              <c:xMode val="edge"/>
              <c:yMode val="edge"/>
              <c:x val="0.4009296368750811"/>
              <c:y val="0.92116177962417312"/>
            </c:manualLayout>
          </c:layout>
          <c:spPr>
            <a:noFill/>
            <a:ln w="25299">
              <a:noFill/>
            </a:ln>
          </c:spPr>
        </c:title>
        <c:numFmt formatCode="0" sourceLinked="0"/>
        <c:tickLblPos val="nextTo"/>
        <c:spPr>
          <a:ln w="3162">
            <a:solidFill>
              <a:srgbClr val="000000"/>
            </a:solidFill>
            <a:prstDash val="solid"/>
          </a:ln>
        </c:spPr>
        <c:txPr>
          <a:bodyPr rot="0" vert="horz"/>
          <a:lstStyle/>
          <a:p>
            <a:pPr>
              <a:defRPr sz="999" b="1" i="0" u="none" strike="noStrike" baseline="0">
                <a:solidFill>
                  <a:srgbClr val="000000"/>
                </a:solidFill>
                <a:latin typeface="Arial Narrow"/>
                <a:ea typeface="Arial Narrow"/>
                <a:cs typeface="Arial Narrow"/>
              </a:defRPr>
            </a:pPr>
            <a:endParaRPr lang="ru-RU"/>
          </a:p>
        </c:txPr>
        <c:crossAx val="176469120"/>
        <c:crosses val="autoZero"/>
        <c:crossBetween val="between"/>
      </c:valAx>
      <c:spPr>
        <a:solidFill>
          <a:srgbClr val="FFFFFF"/>
        </a:solidFill>
        <a:ln w="12650">
          <a:solidFill>
            <a:sysClr val="windowText" lastClr="000000"/>
          </a:solidFill>
          <a:prstDash val="solid"/>
        </a:ln>
      </c:spPr>
    </c:plotArea>
    <c:legend>
      <c:legendPos val="r"/>
      <c:layout>
        <c:manualLayout>
          <c:xMode val="edge"/>
          <c:yMode val="edge"/>
          <c:x val="0.82114206036745407"/>
          <c:y val="0.22418733853554501"/>
          <c:w val="0.16712959317585294"/>
          <c:h val="0.55910755263336209"/>
        </c:manualLayout>
      </c:layout>
      <c:spPr>
        <a:solidFill>
          <a:sysClr val="window" lastClr="FFFFFF"/>
        </a:solidFill>
        <a:ln>
          <a:solidFill>
            <a:sysClr val="window" lastClr="FFFFFF">
              <a:lumMod val="50000"/>
            </a:sysClr>
          </a:solidFill>
        </a:ln>
      </c:spPr>
      <c:txPr>
        <a:bodyPr/>
        <a:lstStyle/>
        <a:p>
          <a:pPr>
            <a:defRPr sz="1200" spc="-40" baseline="0">
              <a:latin typeface="Times New Roman" panose="02020603050405020304" pitchFamily="18" charset="0"/>
              <a:cs typeface="Times New Roman" panose="02020603050405020304" pitchFamily="18" charset="0"/>
            </a:defRPr>
          </a:pPr>
          <a:endParaRPr lang="ru-RU"/>
        </a:p>
      </c:txPr>
    </c:legend>
    <c:plotVisOnly val="1"/>
    <c:dispBlanksAs val="gap"/>
  </c:chart>
  <c:spPr>
    <a:noFill/>
    <a:ln>
      <a:solidFill>
        <a:sysClr val="window" lastClr="FFFFFF">
          <a:lumMod val="65000"/>
        </a:sysClr>
      </a:solidFill>
    </a:ln>
  </c:spPr>
  <c:txPr>
    <a:bodyPr/>
    <a:lstStyle/>
    <a:p>
      <a:pPr>
        <a:defRPr sz="999" b="1" i="0" u="none" strike="noStrike" baseline="0">
          <a:solidFill>
            <a:srgbClr val="000000"/>
          </a:solidFill>
          <a:latin typeface="Arial"/>
          <a:ea typeface="Arial"/>
          <a:cs typeface="Arial"/>
        </a:defRPr>
      </a:pPr>
      <a:endParaRPr lang="ru-RU"/>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0.74975</cdr:x>
      <cdr:y>0.04113</cdr:y>
    </cdr:from>
    <cdr:to>
      <cdr:x>0.83122</cdr:x>
      <cdr:y>0.10668</cdr:y>
    </cdr:to>
    <cdr:sp macro="" textlink="">
      <cdr:nvSpPr>
        <cdr:cNvPr id="2" name="Надпись 1"/>
        <cdr:cNvSpPr txBox="1"/>
      </cdr:nvSpPr>
      <cdr:spPr>
        <a:xfrm xmlns:a="http://schemas.openxmlformats.org/drawingml/2006/main">
          <a:off x="3703533" y="104105"/>
          <a:ext cx="402434" cy="165914"/>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0.77001</cdr:x>
      <cdr:y>0.14767</cdr:y>
    </cdr:from>
    <cdr:to>
      <cdr:x>0.85024</cdr:x>
      <cdr:y>0.21372</cdr:y>
    </cdr:to>
    <cdr:sp macro="" textlink="">
      <cdr:nvSpPr>
        <cdr:cNvPr id="3" name="Надпись 2"/>
        <cdr:cNvSpPr txBox="1"/>
      </cdr:nvSpPr>
      <cdr:spPr>
        <a:xfrm xmlns:a="http://schemas.openxmlformats.org/drawingml/2006/main">
          <a:off x="3803610" y="373769"/>
          <a:ext cx="396310" cy="167180"/>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0.88565</cdr:x>
      <cdr:y>0.22697</cdr:y>
    </cdr:from>
    <cdr:to>
      <cdr:x>0.96638</cdr:x>
      <cdr:y>0.29771</cdr:y>
    </cdr:to>
    <cdr:sp macro="" textlink="">
      <cdr:nvSpPr>
        <cdr:cNvPr id="4" name="Надпись 3"/>
        <cdr:cNvSpPr txBox="1"/>
      </cdr:nvSpPr>
      <cdr:spPr>
        <a:xfrm xmlns:a="http://schemas.openxmlformats.org/drawingml/2006/main">
          <a:off x="4374795" y="499533"/>
          <a:ext cx="398779" cy="155697"/>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0.87648</cdr:x>
      <cdr:y>0.33083</cdr:y>
    </cdr:from>
    <cdr:to>
      <cdr:x>0.95671</cdr:x>
      <cdr:y>0.41682</cdr:y>
    </cdr:to>
    <cdr:sp macro="" textlink="">
      <cdr:nvSpPr>
        <cdr:cNvPr id="5" name="Надпись 4"/>
        <cdr:cNvSpPr txBox="1"/>
      </cdr:nvSpPr>
      <cdr:spPr>
        <a:xfrm xmlns:a="http://schemas.openxmlformats.org/drawingml/2006/main">
          <a:off x="4329537" y="728133"/>
          <a:ext cx="396309" cy="189261"/>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0.82361</cdr:x>
      <cdr:y>0.44478</cdr:y>
    </cdr:from>
    <cdr:to>
      <cdr:x>0.90409</cdr:x>
      <cdr:y>0.51159</cdr:y>
    </cdr:to>
    <cdr:sp macro="" textlink="">
      <cdr:nvSpPr>
        <cdr:cNvPr id="6" name="Надпись 5"/>
        <cdr:cNvSpPr txBox="1"/>
      </cdr:nvSpPr>
      <cdr:spPr>
        <a:xfrm xmlns:a="http://schemas.openxmlformats.org/drawingml/2006/main">
          <a:off x="4068356" y="978927"/>
          <a:ext cx="397545" cy="147043"/>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0.93126</cdr:x>
      <cdr:y>0.54164</cdr:y>
    </cdr:from>
    <cdr:to>
      <cdr:x>0.98749</cdr:x>
      <cdr:y>0.65012</cdr:y>
    </cdr:to>
    <cdr:sp macro="" textlink="">
      <cdr:nvSpPr>
        <cdr:cNvPr id="7" name="Надпись 6"/>
        <cdr:cNvSpPr txBox="1"/>
      </cdr:nvSpPr>
      <cdr:spPr>
        <a:xfrm xmlns:a="http://schemas.openxmlformats.org/drawingml/2006/main">
          <a:off x="4600121" y="1192101"/>
          <a:ext cx="277758" cy="238765"/>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0.68586</cdr:x>
      <cdr:y>0.74776</cdr:y>
    </cdr:from>
    <cdr:to>
      <cdr:x>0.76783</cdr:x>
      <cdr:y>0.81071</cdr:y>
    </cdr:to>
    <cdr:sp macro="" textlink="">
      <cdr:nvSpPr>
        <cdr:cNvPr id="8" name="Надпись 7"/>
        <cdr:cNvSpPr txBox="1"/>
      </cdr:nvSpPr>
      <cdr:spPr>
        <a:xfrm xmlns:a="http://schemas.openxmlformats.org/drawingml/2006/main">
          <a:off x="3387928" y="1645745"/>
          <a:ext cx="404904" cy="138547"/>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0.71232</cdr:x>
      <cdr:y>0.07145</cdr:y>
    </cdr:from>
    <cdr:to>
      <cdr:x>0.76428</cdr:x>
      <cdr:y>0.13044</cdr:y>
    </cdr:to>
    <cdr:sp macro="" textlink="">
      <cdr:nvSpPr>
        <cdr:cNvPr id="2" name="Надпись 1"/>
        <cdr:cNvSpPr txBox="1"/>
      </cdr:nvSpPr>
      <cdr:spPr>
        <a:xfrm xmlns:a="http://schemas.openxmlformats.org/drawingml/2006/main">
          <a:off x="3926170" y="157896"/>
          <a:ext cx="286393" cy="130356"/>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0.74421</cdr:x>
      <cdr:y>0.16369</cdr:y>
    </cdr:from>
    <cdr:to>
      <cdr:x>0.77169</cdr:x>
      <cdr:y>0.22824</cdr:y>
    </cdr:to>
    <cdr:sp macro="" textlink="">
      <cdr:nvSpPr>
        <cdr:cNvPr id="3" name="Надпись 2"/>
        <cdr:cNvSpPr txBox="1"/>
      </cdr:nvSpPr>
      <cdr:spPr>
        <a:xfrm xmlns:a="http://schemas.openxmlformats.org/drawingml/2006/main">
          <a:off x="4101958" y="361714"/>
          <a:ext cx="151464" cy="142642"/>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0.81044</cdr:x>
      <cdr:y>0.25865</cdr:y>
    </cdr:from>
    <cdr:to>
      <cdr:x>0.85512</cdr:x>
      <cdr:y>0.31749</cdr:y>
    </cdr:to>
    <cdr:sp macro="" textlink="">
      <cdr:nvSpPr>
        <cdr:cNvPr id="4" name="Надпись 3"/>
        <cdr:cNvSpPr txBox="1"/>
      </cdr:nvSpPr>
      <cdr:spPr>
        <a:xfrm xmlns:a="http://schemas.openxmlformats.org/drawingml/2006/main">
          <a:off x="4466967" y="571557"/>
          <a:ext cx="246267" cy="130025"/>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0.81144</cdr:x>
      <cdr:y>0.35091</cdr:y>
    </cdr:from>
    <cdr:to>
      <cdr:x>0.85912</cdr:x>
      <cdr:y>0.41017</cdr:y>
    </cdr:to>
    <cdr:sp macro="" textlink="">
      <cdr:nvSpPr>
        <cdr:cNvPr id="5" name="Надпись 4"/>
        <cdr:cNvSpPr txBox="1"/>
      </cdr:nvSpPr>
      <cdr:spPr>
        <a:xfrm xmlns:a="http://schemas.openxmlformats.org/drawingml/2006/main">
          <a:off x="4472502" y="897112"/>
          <a:ext cx="262803" cy="151498"/>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0.81163</cdr:x>
      <cdr:y>0.44222</cdr:y>
    </cdr:from>
    <cdr:to>
      <cdr:x>0.85591</cdr:x>
      <cdr:y>0.5075</cdr:y>
    </cdr:to>
    <cdr:sp macro="" textlink="">
      <cdr:nvSpPr>
        <cdr:cNvPr id="6" name="Надпись 5"/>
        <cdr:cNvSpPr txBox="1"/>
      </cdr:nvSpPr>
      <cdr:spPr>
        <a:xfrm xmlns:a="http://schemas.openxmlformats.org/drawingml/2006/main">
          <a:off x="4473550" y="1130534"/>
          <a:ext cx="244062" cy="166889"/>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effectLst/>
              <a:latin typeface="Arial" panose="020B0604020202020204" pitchFamily="34" charset="0"/>
              <a:ea typeface="+mn-ea"/>
              <a:cs typeface="Arial" panose="020B0604020202020204" pitchFamily="34" charset="0"/>
            </a:rPr>
            <a:t>#</a:t>
          </a:r>
          <a:endParaRPr lang="ru-RU" sz="12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0.90289</cdr:x>
      <cdr:y>0.54745</cdr:y>
    </cdr:from>
    <cdr:to>
      <cdr:x>0.95203</cdr:x>
      <cdr:y>0.60776</cdr:y>
    </cdr:to>
    <cdr:sp macro="" textlink="">
      <cdr:nvSpPr>
        <cdr:cNvPr id="7" name="Надпись 6"/>
        <cdr:cNvSpPr txBox="1"/>
      </cdr:nvSpPr>
      <cdr:spPr>
        <a:xfrm xmlns:a="http://schemas.openxmlformats.org/drawingml/2006/main">
          <a:off x="4976532" y="1399573"/>
          <a:ext cx="270849" cy="154183"/>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0.68468</cdr:x>
      <cdr:y>0.73646</cdr:y>
    </cdr:from>
    <cdr:to>
      <cdr:x>0.75014</cdr:x>
      <cdr:y>0.79014</cdr:y>
    </cdr:to>
    <cdr:sp macro="" textlink="">
      <cdr:nvSpPr>
        <cdr:cNvPr id="8" name="Надпись 2"/>
        <cdr:cNvSpPr txBox="1"/>
      </cdr:nvSpPr>
      <cdr:spPr>
        <a:xfrm xmlns:a="http://schemas.openxmlformats.org/drawingml/2006/main">
          <a:off x="3773844" y="1988937"/>
          <a:ext cx="360802" cy="144971"/>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0.7987</cdr:x>
      <cdr:y>0.08579</cdr:y>
    </cdr:from>
    <cdr:to>
      <cdr:x>0.84767</cdr:x>
      <cdr:y>0.14684</cdr:y>
    </cdr:to>
    <cdr:sp macro="" textlink="">
      <cdr:nvSpPr>
        <cdr:cNvPr id="2" name="Надпись 1"/>
        <cdr:cNvSpPr txBox="1"/>
      </cdr:nvSpPr>
      <cdr:spPr>
        <a:xfrm xmlns:a="http://schemas.openxmlformats.org/drawingml/2006/main">
          <a:off x="4402294" y="217907"/>
          <a:ext cx="269913" cy="155067"/>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0.76871</cdr:x>
      <cdr:y>0.18732</cdr:y>
    </cdr:from>
    <cdr:to>
      <cdr:x>0.81669</cdr:x>
      <cdr:y>0.24862</cdr:y>
    </cdr:to>
    <cdr:sp macro="" textlink="">
      <cdr:nvSpPr>
        <cdr:cNvPr id="3" name="Надпись 2"/>
        <cdr:cNvSpPr txBox="1"/>
      </cdr:nvSpPr>
      <cdr:spPr>
        <a:xfrm xmlns:a="http://schemas.openxmlformats.org/drawingml/2006/main">
          <a:off x="4236964" y="475793"/>
          <a:ext cx="264456" cy="155702"/>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0.8253</cdr:x>
      <cdr:y>0.29149</cdr:y>
    </cdr:from>
    <cdr:to>
      <cdr:x>0.87378</cdr:x>
      <cdr:y>0.35279</cdr:y>
    </cdr:to>
    <cdr:sp macro="" textlink="">
      <cdr:nvSpPr>
        <cdr:cNvPr id="4" name="Надпись 3"/>
        <cdr:cNvSpPr txBox="1"/>
      </cdr:nvSpPr>
      <cdr:spPr>
        <a:xfrm xmlns:a="http://schemas.openxmlformats.org/drawingml/2006/main">
          <a:off x="4548873" y="740393"/>
          <a:ext cx="267212" cy="155702"/>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0.78259</cdr:x>
      <cdr:y>0.40455</cdr:y>
    </cdr:from>
    <cdr:to>
      <cdr:x>0.83182</cdr:x>
      <cdr:y>0.46585</cdr:y>
    </cdr:to>
    <cdr:sp macro="" textlink="">
      <cdr:nvSpPr>
        <cdr:cNvPr id="5" name="Надпись 4"/>
        <cdr:cNvSpPr txBox="1"/>
      </cdr:nvSpPr>
      <cdr:spPr>
        <a:xfrm xmlns:a="http://schemas.openxmlformats.org/drawingml/2006/main">
          <a:off x="4313490" y="1027549"/>
          <a:ext cx="271346" cy="155702"/>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0.83421</cdr:x>
      <cdr:y>0.49713</cdr:y>
    </cdr:from>
    <cdr:to>
      <cdr:x>0.88269</cdr:x>
      <cdr:y>0.55868</cdr:y>
    </cdr:to>
    <cdr:sp macro="" textlink="">
      <cdr:nvSpPr>
        <cdr:cNvPr id="6" name="Надпись 5"/>
        <cdr:cNvSpPr txBox="1"/>
      </cdr:nvSpPr>
      <cdr:spPr>
        <a:xfrm xmlns:a="http://schemas.openxmlformats.org/drawingml/2006/main">
          <a:off x="4598000" y="1262710"/>
          <a:ext cx="267212" cy="156337"/>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0.91717</cdr:x>
      <cdr:y>0.60957</cdr:y>
    </cdr:from>
    <cdr:to>
      <cdr:x>0.99016</cdr:x>
      <cdr:y>0.67342</cdr:y>
    </cdr:to>
    <cdr:sp macro="" textlink="">
      <cdr:nvSpPr>
        <cdr:cNvPr id="7" name="Надпись 6"/>
        <cdr:cNvSpPr txBox="1"/>
      </cdr:nvSpPr>
      <cdr:spPr>
        <a:xfrm xmlns:a="http://schemas.openxmlformats.org/drawingml/2006/main">
          <a:off x="5055282" y="1548316"/>
          <a:ext cx="402306" cy="162179"/>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ru-RU" sz="1200" b="1">
              <a:latin typeface="Arial" panose="020B0604020202020204" pitchFamily="34" charset="0"/>
              <a:cs typeface="Arial" panose="020B0604020202020204" pitchFamily="34" charset="0"/>
            </a:rPr>
            <a:t>*</a:t>
          </a:r>
          <a:r>
            <a:rPr lang="en-US" sz="1200" b="0">
              <a:latin typeface="Arial" panose="020B0604020202020204" pitchFamily="34" charset="0"/>
              <a:cs typeface="Arial" panose="020B0604020202020204" pitchFamily="34" charset="0"/>
            </a:rPr>
            <a:t>#</a:t>
          </a:r>
          <a:endParaRPr lang="ru-RU" sz="12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0.13057</cdr:x>
      <cdr:y>0.81333</cdr:y>
    </cdr:from>
    <cdr:to>
      <cdr:x>0.49155</cdr:x>
      <cdr:y>0.92333</cdr:y>
    </cdr:to>
    <cdr:sp macro="" textlink="">
      <cdr:nvSpPr>
        <cdr:cNvPr id="8" name="Надпись 7"/>
        <cdr:cNvSpPr txBox="1"/>
      </cdr:nvSpPr>
      <cdr:spPr>
        <a:xfrm xmlns:a="http://schemas.openxmlformats.org/drawingml/2006/main">
          <a:off x="719666" y="2065867"/>
          <a:ext cx="1989668" cy="27940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algn="r"/>
          <a:r>
            <a:rPr lang="ru-RU" sz="1400">
              <a:latin typeface="Times New Roman" panose="02020603050405020304" pitchFamily="18" charset="0"/>
              <a:cs typeface="Times New Roman" panose="02020603050405020304" pitchFamily="18" charset="0"/>
            </a:rPr>
            <a:t>(ОА+ГІТ+</a:t>
          </a:r>
          <a:r>
            <a:rPr lang="en-US" sz="1400">
              <a:latin typeface="Times New Roman" panose="02020603050405020304" pitchFamily="18" charset="0"/>
              <a:cs typeface="Times New Roman" panose="02020603050405020304" pitchFamily="18" charset="0"/>
            </a:rPr>
            <a:t>L-</a:t>
          </a:r>
          <a:r>
            <a:rPr lang="uk-UA" sz="1400">
              <a:latin typeface="Times New Roman" panose="02020603050405020304" pitchFamily="18" charset="0"/>
              <a:cs typeface="Times New Roman" panose="02020603050405020304" pitchFamily="18" charset="0"/>
            </a:rPr>
            <a:t>тироксин)</a:t>
          </a:r>
          <a:endParaRPr lang="ru-RU" sz="14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0.8481</cdr:x>
      <cdr:y>0.72706</cdr:y>
    </cdr:from>
    <cdr:to>
      <cdr:x>0.87883</cdr:x>
      <cdr:y>0.79111</cdr:y>
    </cdr:to>
    <cdr:sp macro="" textlink="">
      <cdr:nvSpPr>
        <cdr:cNvPr id="7" name="Надпись 6"/>
        <cdr:cNvSpPr txBox="1"/>
      </cdr:nvSpPr>
      <cdr:spPr>
        <a:xfrm xmlns:a="http://schemas.openxmlformats.org/drawingml/2006/main">
          <a:off x="4560176" y="2778778"/>
          <a:ext cx="276942" cy="239359"/>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endParaRPr lang="ru-RU"/>
        </a:p>
      </cdr:txBody>
    </cdr:sp>
  </cdr:relSizeAnchor>
  <cdr:relSizeAnchor xmlns:cdr="http://schemas.openxmlformats.org/drawingml/2006/chartDrawing">
    <cdr:from>
      <cdr:x>0.68364</cdr:x>
      <cdr:y>0.77973</cdr:y>
    </cdr:from>
    <cdr:to>
      <cdr:x>0.70094</cdr:x>
      <cdr:y>0.8011</cdr:y>
    </cdr:to>
    <cdr:sp macro="" textlink="">
      <cdr:nvSpPr>
        <cdr:cNvPr id="4" name="TextBox 3"/>
        <cdr:cNvSpPr txBox="1"/>
      </cdr:nvSpPr>
      <cdr:spPr>
        <a:xfrm xmlns:a="http://schemas.openxmlformats.org/drawingml/2006/main">
          <a:off x="3429000" y="3141133"/>
          <a:ext cx="101600" cy="8466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endParaRPr lang="ru-RU"/>
        </a:p>
      </cdr:txBody>
    </cdr:sp>
  </cdr:relSizeAnchor>
  <cdr:relSizeAnchor xmlns:cdr="http://schemas.openxmlformats.org/drawingml/2006/chartDrawing">
    <cdr:from>
      <cdr:x>0.36271</cdr:x>
      <cdr:y>0.82222</cdr:y>
    </cdr:from>
    <cdr:to>
      <cdr:x>0.38351</cdr:x>
      <cdr:y>0.84359</cdr:y>
    </cdr:to>
    <cdr:sp macro="" textlink="">
      <cdr:nvSpPr>
        <cdr:cNvPr id="5" name="TextBox 4"/>
        <cdr:cNvSpPr txBox="1"/>
      </cdr:nvSpPr>
      <cdr:spPr>
        <a:xfrm xmlns:a="http://schemas.openxmlformats.org/drawingml/2006/main">
          <a:off x="1837267" y="3310467"/>
          <a:ext cx="101600" cy="8466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endParaRPr lang="ru-RU"/>
        </a:p>
      </cdr:txBody>
    </cdr:sp>
  </cdr:relSizeAnchor>
  <cdr:relSizeAnchor xmlns:cdr="http://schemas.openxmlformats.org/drawingml/2006/chartDrawing">
    <cdr:from>
      <cdr:x>0.60372</cdr:x>
      <cdr:y>0.77815</cdr:y>
    </cdr:from>
    <cdr:to>
      <cdr:x>0.62502</cdr:x>
      <cdr:y>0.80692</cdr:y>
    </cdr:to>
    <cdr:sp macro="" textlink="">
      <cdr:nvSpPr>
        <cdr:cNvPr id="9" name="TextBox 8"/>
        <cdr:cNvSpPr txBox="1"/>
      </cdr:nvSpPr>
      <cdr:spPr>
        <a:xfrm xmlns:a="http://schemas.openxmlformats.org/drawingml/2006/main">
          <a:off x="3516582" y="2641600"/>
          <a:ext cx="124085" cy="9766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0.60431</cdr:x>
      <cdr:y>0.82803</cdr:y>
    </cdr:from>
    <cdr:to>
      <cdr:x>0.62938</cdr:x>
      <cdr:y>0.85384</cdr:y>
    </cdr:to>
    <cdr:sp macro="" textlink="">
      <cdr:nvSpPr>
        <cdr:cNvPr id="10" name="TextBox 9"/>
        <cdr:cNvSpPr txBox="1"/>
      </cdr:nvSpPr>
      <cdr:spPr>
        <a:xfrm xmlns:a="http://schemas.openxmlformats.org/drawingml/2006/main">
          <a:off x="3519996" y="2810933"/>
          <a:ext cx="146071" cy="8761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0.69222</cdr:x>
      <cdr:y>0.52526</cdr:y>
    </cdr:from>
    <cdr:to>
      <cdr:x>0.70007</cdr:x>
      <cdr:y>0.57115</cdr:y>
    </cdr:to>
    <cdr:sp macro="" textlink="">
      <cdr:nvSpPr>
        <cdr:cNvPr id="11" name="TextBox 10"/>
        <cdr:cNvSpPr txBox="1"/>
      </cdr:nvSpPr>
      <cdr:spPr>
        <a:xfrm xmlns:a="http://schemas.openxmlformats.org/drawingml/2006/main">
          <a:off x="2015821" y="1783092"/>
          <a:ext cx="22860" cy="15578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0.60431</cdr:x>
      <cdr:y>0.72578</cdr:y>
    </cdr:from>
    <cdr:to>
      <cdr:x>0.62938</cdr:x>
      <cdr:y>0.75158</cdr:y>
    </cdr:to>
    <cdr:sp macro="" textlink="">
      <cdr:nvSpPr>
        <cdr:cNvPr id="12" name="TextBox 9"/>
        <cdr:cNvSpPr txBox="1"/>
      </cdr:nvSpPr>
      <cdr:spPr>
        <a:xfrm xmlns:a="http://schemas.openxmlformats.org/drawingml/2006/main">
          <a:off x="3519996" y="2463800"/>
          <a:ext cx="146071" cy="8761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0.60227</cdr:x>
      <cdr:y>0.67589</cdr:y>
    </cdr:from>
    <cdr:to>
      <cdr:x>0.62357</cdr:x>
      <cdr:y>0.70467</cdr:y>
    </cdr:to>
    <cdr:sp macro="" textlink="">
      <cdr:nvSpPr>
        <cdr:cNvPr id="13" name="TextBox 8"/>
        <cdr:cNvSpPr txBox="1"/>
      </cdr:nvSpPr>
      <cdr:spPr>
        <a:xfrm xmlns:a="http://schemas.openxmlformats.org/drawingml/2006/main">
          <a:off x="3508115" y="2294466"/>
          <a:ext cx="124085" cy="9766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0.60279</cdr:x>
      <cdr:y>0.55368</cdr:y>
    </cdr:from>
    <cdr:to>
      <cdr:x>0.62066</cdr:x>
      <cdr:y>0.58262</cdr:y>
    </cdr:to>
    <cdr:sp macro="" textlink="">
      <cdr:nvSpPr>
        <cdr:cNvPr id="14" name="TextBox 10"/>
        <cdr:cNvSpPr txBox="1"/>
      </cdr:nvSpPr>
      <cdr:spPr>
        <a:xfrm xmlns:a="http://schemas.openxmlformats.org/drawingml/2006/main">
          <a:off x="3511163" y="1879600"/>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0.60424</cdr:x>
      <cdr:y>0.2519</cdr:y>
    </cdr:from>
    <cdr:to>
      <cdr:x>0.62212</cdr:x>
      <cdr:y>0.28083</cdr:y>
    </cdr:to>
    <cdr:sp macro="" textlink="">
      <cdr:nvSpPr>
        <cdr:cNvPr id="15" name="TextBox 10"/>
        <cdr:cNvSpPr txBox="1"/>
      </cdr:nvSpPr>
      <cdr:spPr>
        <a:xfrm xmlns:a="http://schemas.openxmlformats.org/drawingml/2006/main">
          <a:off x="3519628" y="855132"/>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0.6057</cdr:x>
      <cdr:y>0.35416</cdr:y>
    </cdr:from>
    <cdr:to>
      <cdr:x>0.62357</cdr:x>
      <cdr:y>0.38309</cdr:y>
    </cdr:to>
    <cdr:sp macro="" textlink="">
      <cdr:nvSpPr>
        <cdr:cNvPr id="16" name="TextBox 10"/>
        <cdr:cNvSpPr txBox="1"/>
      </cdr:nvSpPr>
      <cdr:spPr>
        <a:xfrm xmlns:a="http://schemas.openxmlformats.org/drawingml/2006/main">
          <a:off x="3528095" y="1202265"/>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0.60424</cdr:x>
      <cdr:y>0.45392</cdr:y>
    </cdr:from>
    <cdr:to>
      <cdr:x>0.62212</cdr:x>
      <cdr:y>0.48285</cdr:y>
    </cdr:to>
    <cdr:sp macro="" textlink="">
      <cdr:nvSpPr>
        <cdr:cNvPr id="17" name="TextBox 10"/>
        <cdr:cNvSpPr txBox="1"/>
      </cdr:nvSpPr>
      <cdr:spPr>
        <a:xfrm xmlns:a="http://schemas.openxmlformats.org/drawingml/2006/main">
          <a:off x="3519628" y="1540932"/>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0.60134</cdr:x>
      <cdr:y>0.47886</cdr:y>
    </cdr:from>
    <cdr:to>
      <cdr:x>0.61921</cdr:x>
      <cdr:y>0.50779</cdr:y>
    </cdr:to>
    <cdr:sp macro="" textlink="">
      <cdr:nvSpPr>
        <cdr:cNvPr id="18" name="TextBox 10"/>
        <cdr:cNvSpPr txBox="1"/>
      </cdr:nvSpPr>
      <cdr:spPr>
        <a:xfrm xmlns:a="http://schemas.openxmlformats.org/drawingml/2006/main">
          <a:off x="3502696" y="1625599"/>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0.60424</cdr:x>
      <cdr:y>0.27934</cdr:y>
    </cdr:from>
    <cdr:to>
      <cdr:x>0.62212</cdr:x>
      <cdr:y>0.30827</cdr:y>
    </cdr:to>
    <cdr:sp macro="" textlink="">
      <cdr:nvSpPr>
        <cdr:cNvPr id="19" name="TextBox 10"/>
        <cdr:cNvSpPr txBox="1"/>
      </cdr:nvSpPr>
      <cdr:spPr>
        <a:xfrm xmlns:a="http://schemas.openxmlformats.org/drawingml/2006/main">
          <a:off x="3519630" y="948266"/>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0.60424</cdr:x>
      <cdr:y>0.3791</cdr:y>
    </cdr:from>
    <cdr:to>
      <cdr:x>0.62212</cdr:x>
      <cdr:y>0.40803</cdr:y>
    </cdr:to>
    <cdr:sp macro="" textlink="">
      <cdr:nvSpPr>
        <cdr:cNvPr id="20" name="TextBox 10"/>
        <cdr:cNvSpPr txBox="1"/>
      </cdr:nvSpPr>
      <cdr:spPr>
        <a:xfrm xmlns:a="http://schemas.openxmlformats.org/drawingml/2006/main">
          <a:off x="3519630" y="1286933"/>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0.65174</cdr:x>
      <cdr:y>0.32323</cdr:y>
    </cdr:from>
    <cdr:to>
      <cdr:x>0.65966</cdr:x>
      <cdr:y>0.35666</cdr:y>
    </cdr:to>
    <cdr:sp macro="" textlink="">
      <cdr:nvSpPr>
        <cdr:cNvPr id="21" name="TextBox 10"/>
        <cdr:cNvSpPr txBox="1"/>
      </cdr:nvSpPr>
      <cdr:spPr>
        <a:xfrm xmlns:a="http://schemas.openxmlformats.org/drawingml/2006/main" flipH="1">
          <a:off x="1897926" y="1097265"/>
          <a:ext cx="23064" cy="11348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0.67644</cdr:x>
      <cdr:y>0.12869</cdr:y>
    </cdr:from>
    <cdr:to>
      <cdr:x>0.68436</cdr:x>
      <cdr:y>0.16211</cdr:y>
    </cdr:to>
    <cdr:sp macro="" textlink="">
      <cdr:nvSpPr>
        <cdr:cNvPr id="22" name="TextBox 10"/>
        <cdr:cNvSpPr txBox="1"/>
      </cdr:nvSpPr>
      <cdr:spPr>
        <a:xfrm xmlns:a="http://schemas.openxmlformats.org/drawingml/2006/main" flipH="1">
          <a:off x="2336698" y="436865"/>
          <a:ext cx="27359" cy="11345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0.60548</cdr:x>
      <cdr:y>0.07133</cdr:y>
    </cdr:from>
    <cdr:to>
      <cdr:x>0.61339</cdr:x>
      <cdr:y>0.10475</cdr:y>
    </cdr:to>
    <cdr:sp macro="" textlink="">
      <cdr:nvSpPr>
        <cdr:cNvPr id="23" name="TextBox 10"/>
        <cdr:cNvSpPr txBox="1"/>
      </cdr:nvSpPr>
      <cdr:spPr>
        <a:xfrm xmlns:a="http://schemas.openxmlformats.org/drawingml/2006/main" flipH="1">
          <a:off x="1763224" y="242144"/>
          <a:ext cx="23035" cy="11345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userShapes>
</file>

<file path=word/drawings/drawing5.xml><?xml version="1.0" encoding="utf-8"?>
<c:userShapes xmlns:c="http://schemas.openxmlformats.org/drawingml/2006/chart">
  <cdr:relSizeAnchor xmlns:cdr="http://schemas.openxmlformats.org/drawingml/2006/chartDrawing">
    <cdr:from>
      <cdr:x>0.8481</cdr:x>
      <cdr:y>0.72706</cdr:y>
    </cdr:from>
    <cdr:to>
      <cdr:x>0.87883</cdr:x>
      <cdr:y>0.79111</cdr:y>
    </cdr:to>
    <cdr:sp macro="" textlink="">
      <cdr:nvSpPr>
        <cdr:cNvPr id="7" name="Надпись 6"/>
        <cdr:cNvSpPr txBox="1"/>
      </cdr:nvSpPr>
      <cdr:spPr>
        <a:xfrm xmlns:a="http://schemas.openxmlformats.org/drawingml/2006/main">
          <a:off x="4560176" y="2778778"/>
          <a:ext cx="276942" cy="239359"/>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endParaRPr lang="ru-RU"/>
        </a:p>
      </cdr:txBody>
    </cdr:sp>
  </cdr:relSizeAnchor>
  <cdr:relSizeAnchor xmlns:cdr="http://schemas.openxmlformats.org/drawingml/2006/chartDrawing">
    <cdr:from>
      <cdr:x>0.68364</cdr:x>
      <cdr:y>0.77973</cdr:y>
    </cdr:from>
    <cdr:to>
      <cdr:x>0.70094</cdr:x>
      <cdr:y>0.8011</cdr:y>
    </cdr:to>
    <cdr:sp macro="" textlink="">
      <cdr:nvSpPr>
        <cdr:cNvPr id="4" name="TextBox 3"/>
        <cdr:cNvSpPr txBox="1"/>
      </cdr:nvSpPr>
      <cdr:spPr>
        <a:xfrm xmlns:a="http://schemas.openxmlformats.org/drawingml/2006/main">
          <a:off x="3429000" y="3141133"/>
          <a:ext cx="101600" cy="8466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endParaRPr lang="ru-RU"/>
        </a:p>
      </cdr:txBody>
    </cdr:sp>
  </cdr:relSizeAnchor>
  <cdr:relSizeAnchor xmlns:cdr="http://schemas.openxmlformats.org/drawingml/2006/chartDrawing">
    <cdr:from>
      <cdr:x>0.36271</cdr:x>
      <cdr:y>0.82222</cdr:y>
    </cdr:from>
    <cdr:to>
      <cdr:x>0.38351</cdr:x>
      <cdr:y>0.84359</cdr:y>
    </cdr:to>
    <cdr:sp macro="" textlink="">
      <cdr:nvSpPr>
        <cdr:cNvPr id="5" name="TextBox 4"/>
        <cdr:cNvSpPr txBox="1"/>
      </cdr:nvSpPr>
      <cdr:spPr>
        <a:xfrm xmlns:a="http://schemas.openxmlformats.org/drawingml/2006/main">
          <a:off x="1837267" y="3310467"/>
          <a:ext cx="101600" cy="8466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endParaRPr lang="ru-RU"/>
        </a:p>
      </cdr:txBody>
    </cdr:sp>
  </cdr:relSizeAnchor>
  <cdr:relSizeAnchor xmlns:cdr="http://schemas.openxmlformats.org/drawingml/2006/chartDrawing">
    <cdr:from>
      <cdr:x>0.74165</cdr:x>
      <cdr:y>0.50779</cdr:y>
    </cdr:from>
    <cdr:to>
      <cdr:x>0.7495</cdr:x>
      <cdr:y>0.55368</cdr:y>
    </cdr:to>
    <cdr:sp macro="" textlink="">
      <cdr:nvSpPr>
        <cdr:cNvPr id="11" name="TextBox 10"/>
        <cdr:cNvSpPr txBox="1"/>
      </cdr:nvSpPr>
      <cdr:spPr>
        <a:xfrm xmlns:a="http://schemas.openxmlformats.org/drawingml/2006/main">
          <a:off x="2159761" y="1723810"/>
          <a:ext cx="22860" cy="15578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0.7467</cdr:x>
      <cdr:y>0.26936</cdr:y>
    </cdr:from>
    <cdr:to>
      <cdr:x>0.76458</cdr:x>
      <cdr:y>0.29829</cdr:y>
    </cdr:to>
    <cdr:sp macro="" textlink="">
      <cdr:nvSpPr>
        <cdr:cNvPr id="15" name="TextBox 10"/>
        <cdr:cNvSpPr txBox="1"/>
      </cdr:nvSpPr>
      <cdr:spPr>
        <a:xfrm xmlns:a="http://schemas.openxmlformats.org/drawingml/2006/main">
          <a:off x="2174480" y="914394"/>
          <a:ext cx="52069"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0.74525</cdr:x>
      <cdr:y>0.36912</cdr:y>
    </cdr:from>
    <cdr:to>
      <cdr:x>0.76312</cdr:x>
      <cdr:y>0.39805</cdr:y>
    </cdr:to>
    <cdr:sp macro="" textlink="">
      <cdr:nvSpPr>
        <cdr:cNvPr id="16" name="TextBox 10"/>
        <cdr:cNvSpPr txBox="1"/>
      </cdr:nvSpPr>
      <cdr:spPr>
        <a:xfrm xmlns:a="http://schemas.openxmlformats.org/drawingml/2006/main">
          <a:off x="2170264" y="1253070"/>
          <a:ext cx="52039"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0.60424</cdr:x>
      <cdr:y>0.45392</cdr:y>
    </cdr:from>
    <cdr:to>
      <cdr:x>0.62212</cdr:x>
      <cdr:y>0.48285</cdr:y>
    </cdr:to>
    <cdr:sp macro="" textlink="">
      <cdr:nvSpPr>
        <cdr:cNvPr id="17" name="TextBox 10"/>
        <cdr:cNvSpPr txBox="1"/>
      </cdr:nvSpPr>
      <cdr:spPr>
        <a:xfrm xmlns:a="http://schemas.openxmlformats.org/drawingml/2006/main">
          <a:off x="3519628" y="1540932"/>
          <a:ext cx="104104" cy="9821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0.7409</cdr:x>
      <cdr:y>0.47138</cdr:y>
    </cdr:from>
    <cdr:to>
      <cdr:x>0.75877</cdr:x>
      <cdr:y>0.50031</cdr:y>
    </cdr:to>
    <cdr:sp macro="" textlink="">
      <cdr:nvSpPr>
        <cdr:cNvPr id="18" name="TextBox 10"/>
        <cdr:cNvSpPr txBox="1"/>
      </cdr:nvSpPr>
      <cdr:spPr>
        <a:xfrm xmlns:a="http://schemas.openxmlformats.org/drawingml/2006/main">
          <a:off x="2157569" y="1600192"/>
          <a:ext cx="52040"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0.7438</cdr:x>
      <cdr:y>0.32174</cdr:y>
    </cdr:from>
    <cdr:to>
      <cdr:x>0.76168</cdr:x>
      <cdr:y>0.35067</cdr:y>
    </cdr:to>
    <cdr:sp macro="" textlink="">
      <cdr:nvSpPr>
        <cdr:cNvPr id="19" name="TextBox 10"/>
        <cdr:cNvSpPr txBox="1"/>
      </cdr:nvSpPr>
      <cdr:spPr>
        <a:xfrm xmlns:a="http://schemas.openxmlformats.org/drawingml/2006/main">
          <a:off x="2166014" y="1092212"/>
          <a:ext cx="52069"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0.74089</cdr:x>
      <cdr:y>0.41901</cdr:y>
    </cdr:from>
    <cdr:to>
      <cdr:x>0.75877</cdr:x>
      <cdr:y>0.44794</cdr:y>
    </cdr:to>
    <cdr:sp macro="" textlink="">
      <cdr:nvSpPr>
        <cdr:cNvPr id="20" name="TextBox 10"/>
        <cdr:cNvSpPr txBox="1"/>
      </cdr:nvSpPr>
      <cdr:spPr>
        <a:xfrm xmlns:a="http://schemas.openxmlformats.org/drawingml/2006/main">
          <a:off x="2157547" y="1422402"/>
          <a:ext cx="52069"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0.74186</cdr:x>
      <cdr:y>0.34318</cdr:y>
    </cdr:from>
    <cdr:to>
      <cdr:x>0.74978</cdr:x>
      <cdr:y>0.37661</cdr:y>
    </cdr:to>
    <cdr:sp macro="" textlink="">
      <cdr:nvSpPr>
        <cdr:cNvPr id="21" name="TextBox 10"/>
        <cdr:cNvSpPr txBox="1"/>
      </cdr:nvSpPr>
      <cdr:spPr>
        <a:xfrm xmlns:a="http://schemas.openxmlformats.org/drawingml/2006/main" flipH="1">
          <a:off x="2160390" y="1165000"/>
          <a:ext cx="23064" cy="11348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0.75203</cdr:x>
      <cdr:y>0.11373</cdr:y>
    </cdr:from>
    <cdr:to>
      <cdr:x>0.75995</cdr:x>
      <cdr:y>0.14715</cdr:y>
    </cdr:to>
    <cdr:sp macro="" textlink="">
      <cdr:nvSpPr>
        <cdr:cNvPr id="22" name="TextBox 10"/>
        <cdr:cNvSpPr txBox="1"/>
      </cdr:nvSpPr>
      <cdr:spPr>
        <a:xfrm xmlns:a="http://schemas.openxmlformats.org/drawingml/2006/main" flipH="1">
          <a:off x="2190001" y="386065"/>
          <a:ext cx="23064" cy="11345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0.74504</cdr:x>
      <cdr:y>0.06385</cdr:y>
    </cdr:from>
    <cdr:to>
      <cdr:x>0.75295</cdr:x>
      <cdr:y>0.09727</cdr:y>
    </cdr:to>
    <cdr:sp macro="" textlink="">
      <cdr:nvSpPr>
        <cdr:cNvPr id="23" name="TextBox 10"/>
        <cdr:cNvSpPr txBox="1"/>
      </cdr:nvSpPr>
      <cdr:spPr>
        <a:xfrm xmlns:a="http://schemas.openxmlformats.org/drawingml/2006/main" flipH="1">
          <a:off x="2169624" y="216744"/>
          <a:ext cx="23035" cy="11345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0.7409</cdr:x>
      <cdr:y>0.44145</cdr:y>
    </cdr:from>
    <cdr:to>
      <cdr:x>0.75877</cdr:x>
      <cdr:y>0.47038</cdr:y>
    </cdr:to>
    <cdr:sp macro="" textlink="">
      <cdr:nvSpPr>
        <cdr:cNvPr id="24" name="TextBox 10"/>
        <cdr:cNvSpPr txBox="1"/>
      </cdr:nvSpPr>
      <cdr:spPr>
        <a:xfrm xmlns:a="http://schemas.openxmlformats.org/drawingml/2006/main">
          <a:off x="2157569" y="1498592"/>
          <a:ext cx="52040"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0.74089</cdr:x>
      <cdr:y>0.24192</cdr:y>
    </cdr:from>
    <cdr:to>
      <cdr:x>0.75877</cdr:x>
      <cdr:y>0.27085</cdr:y>
    </cdr:to>
    <cdr:sp macro="" textlink="">
      <cdr:nvSpPr>
        <cdr:cNvPr id="25" name="TextBox 10"/>
        <cdr:cNvSpPr txBox="1"/>
      </cdr:nvSpPr>
      <cdr:spPr>
        <a:xfrm xmlns:a="http://schemas.openxmlformats.org/drawingml/2006/main">
          <a:off x="2157546" y="821261"/>
          <a:ext cx="52069" cy="9820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ru-RU" sz="1100"/>
            <a:t>*</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DC8B-B1AC-40F9-95EA-0D560DE1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38</Pages>
  <Words>14748</Words>
  <Characters>84068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k201_user</cp:lastModifiedBy>
  <cp:revision>272</cp:revision>
  <dcterms:created xsi:type="dcterms:W3CDTF">2021-03-05T09:53:00Z</dcterms:created>
  <dcterms:modified xsi:type="dcterms:W3CDTF">2021-04-08T06:01:00Z</dcterms:modified>
</cp:coreProperties>
</file>